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9E5404">
      <w:pPr>
        <w:jc w:val="distribute"/>
        <w:rPr>
          <w:rFonts w:hint="default" w:eastAsia="方正小标宋简体" w:asciiTheme="minorAscii" w:hAnsiTheme="minorAscii"/>
          <w:color w:val="FF0000"/>
          <w:w w:val="48"/>
          <w:sz w:val="144"/>
          <w:szCs w:val="160"/>
        </w:rPr>
      </w:pPr>
      <w:r>
        <w:rPr>
          <w:rFonts w:hint="default" w:eastAsia="方正小标宋简体" w:asciiTheme="minorAscii" w:hAnsiTheme="minorAscii"/>
          <w:color w:val="FF0000"/>
          <w:w w:val="48"/>
          <w:sz w:val="144"/>
          <w:szCs w:val="160"/>
        </w:rPr>
        <w:t>滕州市人民政府办公室文件</w:t>
      </w:r>
    </w:p>
    <w:p w14:paraId="714AB80E">
      <w:pPr>
        <w:autoSpaceDE w:val="0"/>
        <w:spacing w:line="560" w:lineRule="exact"/>
        <w:jc w:val="center"/>
        <w:rPr>
          <w:rStyle w:val="10"/>
          <w:rFonts w:ascii="楷体_GB2312" w:hAnsi="楷体_GB2312" w:eastAsia="楷体_GB2312" w:cs="楷体_GB2312"/>
          <w:b w:val="0"/>
          <w:sz w:val="32"/>
          <w:szCs w:val="32"/>
        </w:rPr>
      </w:pPr>
    </w:p>
    <w:p w14:paraId="28F0A253">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Style w:val="10"/>
          <w:rFonts w:ascii="楷体_GB2312" w:hAnsi="楷体_GB2312" w:eastAsia="楷体_GB2312" w:cs="楷体_GB2312"/>
          <w:b w:val="0"/>
          <w:sz w:val="32"/>
          <w:szCs w:val="32"/>
        </w:rPr>
      </w:pPr>
    </w:p>
    <w:p w14:paraId="26BD8B8F">
      <w:pPr>
        <w:autoSpaceDE w:val="0"/>
        <w:spacing w:line="560" w:lineRule="exact"/>
        <w:jc w:val="center"/>
        <w:rPr>
          <w:rStyle w:val="10"/>
          <w:rFonts w:ascii="仿宋_GB2312" w:hAnsi="楷体_GB2312" w:eastAsia="仿宋_GB2312" w:cs="楷体_GB2312"/>
          <w:b w:val="0"/>
          <w:sz w:val="32"/>
          <w:szCs w:val="32"/>
        </w:rPr>
      </w:pPr>
      <w:r>
        <w:rPr>
          <w:rStyle w:val="10"/>
          <w:rFonts w:hint="eastAsia" w:ascii="仿宋_GB2312" w:hAnsi="楷体_GB2312" w:eastAsia="仿宋_GB2312" w:cs="楷体_GB2312"/>
          <w:b w:val="0"/>
          <w:sz w:val="32"/>
          <w:szCs w:val="32"/>
        </w:rPr>
        <w:t>滕政办发〔2026〕</w:t>
      </w:r>
      <w:r>
        <w:rPr>
          <w:rStyle w:val="10"/>
          <w:rFonts w:hint="eastAsia" w:ascii="仿宋_GB2312" w:hAnsi="楷体_GB2312" w:eastAsia="仿宋_GB2312" w:cs="楷体_GB2312"/>
          <w:b w:val="0"/>
          <w:sz w:val="32"/>
          <w:szCs w:val="32"/>
          <w:lang w:val="en-US" w:eastAsia="zh-CN"/>
        </w:rPr>
        <w:t>11</w:t>
      </w:r>
      <w:r>
        <w:rPr>
          <w:rStyle w:val="10"/>
          <w:rFonts w:hint="eastAsia" w:ascii="仿宋_GB2312" w:hAnsi="楷体_GB2312" w:eastAsia="仿宋_GB2312" w:cs="楷体_GB2312"/>
          <w:b w:val="0"/>
          <w:sz w:val="32"/>
          <w:szCs w:val="32"/>
        </w:rPr>
        <w:t>号</w:t>
      </w:r>
    </w:p>
    <w:p w14:paraId="0729870F">
      <w:pPr>
        <w:keepNext w:val="0"/>
        <w:keepLines w:val="0"/>
        <w:pageBreakBefore w:val="0"/>
        <w:widowControl w:val="0"/>
        <w:kinsoku/>
        <w:wordWrap/>
        <w:overflowPunct/>
        <w:topLinePunct w:val="0"/>
        <w:autoSpaceDE w:val="0"/>
        <w:autoSpaceDN/>
        <w:bidi w:val="0"/>
        <w:adjustRightInd/>
        <w:snapToGrid/>
        <w:spacing w:line="500" w:lineRule="exact"/>
        <w:jc w:val="center"/>
        <w:textAlignment w:val="auto"/>
        <w:rPr>
          <w:rStyle w:val="10"/>
          <w:rFonts w:ascii="方正小标宋简体" w:hAnsi="华文中宋" w:eastAsia="方正小标宋简体"/>
          <w:b w:val="0"/>
          <w:sz w:val="44"/>
          <w:szCs w:val="44"/>
        </w:rPr>
      </w:pPr>
      <w:r>
        <w:rPr>
          <w:rFonts w:hint="eastAsia"/>
          <w:szCs w:val="22"/>
        </w:rPr>
        <mc:AlternateContent>
          <mc:Choice Requires="wps">
            <w:drawing>
              <wp:anchor distT="0" distB="0" distL="114300" distR="114300" simplePos="0" relativeHeight="251660288" behindDoc="0" locked="0" layoutInCell="1" allowOverlap="1">
                <wp:simplePos x="0" y="0"/>
                <wp:positionH relativeFrom="column">
                  <wp:posOffset>-179705</wp:posOffset>
                </wp:positionH>
                <wp:positionV relativeFrom="paragraph">
                  <wp:posOffset>149860</wp:posOffset>
                </wp:positionV>
                <wp:extent cx="5760085" cy="635"/>
                <wp:effectExtent l="0" t="10795" r="12065" b="17145"/>
                <wp:wrapNone/>
                <wp:docPr id="3" name="直接连接符 3"/>
                <wp:cNvGraphicFramePr/>
                <a:graphic xmlns:a="http://schemas.openxmlformats.org/drawingml/2006/main">
                  <a:graphicData uri="http://schemas.microsoft.com/office/word/2010/wordprocessingShape">
                    <wps:wsp>
                      <wps:cNvCnPr/>
                      <wps:spPr>
                        <a:xfrm>
                          <a:off x="0" y="0"/>
                          <a:ext cx="5760085" cy="635"/>
                        </a:xfrm>
                        <a:prstGeom prst="line">
                          <a:avLst/>
                        </a:prstGeom>
                        <a:ln w="22225" cap="flat" cmpd="sng">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4.15pt;margin-top:11.8pt;height:0.05pt;width:453.55pt;z-index:251660288;mso-width-relative:page;mso-height-relative:page;" filled="f" stroked="t" coordsize="21600,21600" o:gfxdata="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PLypADYAAAACQEAAA8AAAAAAAAAAQAgAAAAIgAAAGRycy9kb3ducmV2LnhtbFBLAQIU&#10;ABQAAAAIAIdO4kBwbIdv8wEAAOkDAAAOAAAAAAAAAAEAIAAAACcBAABkcnMvZTJvRG9jLnhtbFBL&#10;BQYAAAAABgAGAFkBAACMBQAAAAA=&#10;">
                <v:fill on="f" focussize="0,0"/>
                <v:stroke weight="1.75pt" color="#FF0000" joinstyle="round"/>
                <v:imagedata o:title=""/>
                <o:lock v:ext="edit" aspectratio="f"/>
              </v:line>
            </w:pict>
          </mc:Fallback>
        </mc:AlternateContent>
      </w:r>
    </w:p>
    <w:p w14:paraId="0206C69C">
      <w:pPr>
        <w:keepNext w:val="0"/>
        <w:keepLines w:val="0"/>
        <w:pageBreakBefore w:val="0"/>
        <w:widowControl w:val="0"/>
        <w:kinsoku/>
        <w:wordWrap/>
        <w:overflowPunct/>
        <w:topLinePunct w:val="0"/>
        <w:autoSpaceDN/>
        <w:bidi w:val="0"/>
        <w:adjustRightInd/>
        <w:snapToGrid/>
        <w:spacing w:line="500" w:lineRule="exact"/>
        <w:jc w:val="center"/>
        <w:textAlignment w:val="auto"/>
        <w:rPr>
          <w:rFonts w:ascii="方正小标宋简体" w:hAnsi="方正小标宋简体" w:eastAsia="方正小标宋简体" w:cs="方正小标宋简体"/>
          <w:sz w:val="44"/>
          <w:szCs w:val="44"/>
        </w:rPr>
      </w:pPr>
    </w:p>
    <w:p w14:paraId="184F2B62">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滕州市人民政府办公室</w:t>
      </w:r>
    </w:p>
    <w:p w14:paraId="114ED6C2">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关于印发《滕州市建设中央财政支持普惠金融发展示范区实施方案》的通知</w:t>
      </w:r>
    </w:p>
    <w:p w14:paraId="10C61AA3">
      <w:pPr>
        <w:spacing w:line="560" w:lineRule="exact"/>
        <w:jc w:val="center"/>
        <w:rPr>
          <w:rFonts w:ascii="方正小标宋简体" w:hAnsi="方正小标宋简体" w:eastAsia="方正小标宋简体" w:cs="方正小标宋简体"/>
          <w:sz w:val="44"/>
          <w:szCs w:val="44"/>
        </w:rPr>
      </w:pPr>
    </w:p>
    <w:p w14:paraId="5C286D23">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各镇人民政府、街道办事处，滕州经济技术开发区管委会，市政府各部门，各企事业单位，各驻滕金融机构：</w:t>
      </w:r>
    </w:p>
    <w:p w14:paraId="31FE8CB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《滕州市建设中央财政支持普惠金融发展示范区实施方案》</w:t>
      </w:r>
      <w:r>
        <w:rPr>
          <w:rFonts w:hint="eastAsia" w:ascii="仿宋_GB2312" w:eastAsia="仿宋_GB2312"/>
          <w:sz w:val="32"/>
          <w:szCs w:val="32"/>
        </w:rPr>
        <w:t>已经市政府同意，现印发给你们，请认真贯彻实施。</w:t>
      </w:r>
    </w:p>
    <w:p w14:paraId="3EF73872">
      <w:pPr>
        <w:spacing w:line="560" w:lineRule="exact"/>
        <w:ind w:firstLine="640" w:firstLineChars="200"/>
        <w:rPr>
          <w:rFonts w:ascii="仿宋_GB2312" w:hAnsi="仿宋_GB2312" w:eastAsia="仿宋_GB2312" w:cs="仿宋_GB2312"/>
          <w:sz w:val="32"/>
          <w:szCs w:val="32"/>
        </w:rPr>
      </w:pPr>
    </w:p>
    <w:p w14:paraId="01F6B5D4">
      <w:pPr>
        <w:spacing w:line="560" w:lineRule="exact"/>
        <w:ind w:firstLine="640" w:firstLineChars="200"/>
        <w:rPr>
          <w:rFonts w:ascii="仿宋_GB2312" w:hAnsi="仿宋_GB2312" w:eastAsia="仿宋_GB2312" w:cs="仿宋_GB2312"/>
          <w:sz w:val="32"/>
          <w:szCs w:val="32"/>
        </w:rPr>
      </w:pPr>
    </w:p>
    <w:p w14:paraId="2946FEFF">
      <w:pPr>
        <w:spacing w:line="560" w:lineRule="exact"/>
        <w:ind w:firstLine="5120" w:firstLineChars="1600"/>
        <w:rPr>
          <w:rFonts w:ascii="仿宋_GB2312" w:hAnsi="仿宋_GB2312" w:eastAsia="仿宋_GB2312" w:cs="仿宋_GB2312"/>
          <w:sz w:val="32"/>
          <w:szCs w:val="32"/>
        </w:rPr>
      </w:pPr>
      <w:r>
        <w:rPr>
          <w:rFonts w:hint="eastAsia" w:ascii="仿宋_GB2312" w:hAnsi="仿宋_GB2312" w:eastAsia="仿宋_GB2312" w:cs="仿宋_GB2312"/>
          <w:sz w:val="32"/>
          <w:szCs w:val="32"/>
        </w:rPr>
        <w:t>滕州市人民政府办公室</w:t>
      </w:r>
    </w:p>
    <w:p w14:paraId="3106D8A5">
      <w:pPr>
        <w:spacing w:line="560" w:lineRule="exact"/>
        <w:ind w:firstLine="5440" w:firstLineChars="1700"/>
        <w:rPr>
          <w:rFonts w:ascii="仿宋_GB2312" w:hAnsi="仿宋_GB2312" w:eastAsia="仿宋_GB2312" w:cs="仿宋_GB2312"/>
          <w:sz w:val="32"/>
          <w:szCs w:val="32"/>
        </w:rPr>
      </w:pPr>
      <w:r>
        <w:rPr>
          <w:rFonts w:hint="eastAsia" w:ascii="仿宋_GB2312" w:hAnsi="仿宋_GB2312" w:eastAsia="仿宋_GB2312" w:cs="仿宋_GB2312"/>
          <w:sz w:val="32"/>
          <w:szCs w:val="32"/>
        </w:rPr>
        <w:t>2026年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日</w:t>
      </w:r>
    </w:p>
    <w:p w14:paraId="7453C7F3">
      <w:pPr>
        <w:spacing w:line="560" w:lineRule="exact"/>
        <w:jc w:val="center"/>
        <w:rPr>
          <w:rFonts w:ascii="方正小标宋简体" w:hAnsi="方正小标宋简体" w:eastAsia="方正小标宋简体" w:cs="方正小标宋简体"/>
          <w:sz w:val="44"/>
          <w:szCs w:val="44"/>
        </w:rPr>
      </w:pPr>
    </w:p>
    <w:p w14:paraId="63A874B5">
      <w:pPr>
        <w:spacing w:line="560" w:lineRule="exact"/>
        <w:jc w:val="center"/>
        <w:rPr>
          <w:rFonts w:ascii="Times New Roman" w:hAnsi="Times New Roman" w:eastAsia="方正小标宋简体" w:cs="Times New Roman"/>
          <w:sz w:val="44"/>
          <w:szCs w:val="44"/>
          <w14:ligatures w14:val="standardContextual"/>
        </w:rPr>
      </w:pPr>
    </w:p>
    <w:p w14:paraId="667A2692">
      <w:pPr>
        <w:keepNext w:val="0"/>
        <w:keepLines w:val="0"/>
        <w:pageBreakBefore w:val="0"/>
        <w:widowControl w:val="0"/>
        <w:kinsoku/>
        <w:wordWrap/>
        <w:overflowPunct w:val="0"/>
        <w:topLinePunct w:val="0"/>
        <w:autoSpaceDE/>
        <w:autoSpaceDN/>
        <w:bidi w:val="0"/>
        <w:adjustRightInd/>
        <w:snapToGrid/>
        <w:spacing w:line="600" w:lineRule="exact"/>
        <w:jc w:val="center"/>
        <w:textAlignment w:val="auto"/>
        <w:rPr>
          <w:rFonts w:ascii="Times New Roman" w:hAnsi="Times New Roman" w:eastAsia="方正小标宋简体" w:cs="Times New Roman"/>
          <w:sz w:val="44"/>
          <w:szCs w:val="44"/>
          <w14:ligatures w14:val="standardContextual"/>
        </w:rPr>
      </w:pPr>
    </w:p>
    <w:p w14:paraId="5F49015A">
      <w:pPr>
        <w:keepNext w:val="0"/>
        <w:keepLines w:val="0"/>
        <w:pageBreakBefore w:val="0"/>
        <w:widowControl w:val="0"/>
        <w:kinsoku/>
        <w:wordWrap/>
        <w:overflowPunct w:val="0"/>
        <w:topLinePunct w:val="0"/>
        <w:autoSpaceDE/>
        <w:autoSpaceDN/>
        <w:bidi w:val="0"/>
        <w:adjustRightInd/>
        <w:snapToGrid/>
        <w:spacing w:line="600" w:lineRule="exact"/>
        <w:jc w:val="center"/>
        <w:textAlignment w:val="auto"/>
        <w:rPr>
          <w:rFonts w:ascii="Times New Roman" w:hAnsi="Times New Roman" w:eastAsia="方正小标宋简体" w:cs="Times New Roman"/>
          <w:sz w:val="44"/>
          <w:szCs w:val="44"/>
          <w14:ligatures w14:val="standardContextual"/>
        </w:rPr>
      </w:pPr>
      <w:r>
        <w:rPr>
          <w:rFonts w:hint="eastAsia" w:ascii="Times New Roman" w:hAnsi="Times New Roman" w:eastAsia="方正小标宋简体" w:cs="Times New Roman"/>
          <w:sz w:val="44"/>
          <w:szCs w:val="44"/>
          <w14:ligatures w14:val="standardContextual"/>
        </w:rPr>
        <w:t>滕州市建设中央财政支持普惠金融</w:t>
      </w:r>
    </w:p>
    <w:p w14:paraId="730923D3">
      <w:pPr>
        <w:keepNext w:val="0"/>
        <w:keepLines w:val="0"/>
        <w:pageBreakBefore w:val="0"/>
        <w:widowControl w:val="0"/>
        <w:kinsoku/>
        <w:wordWrap/>
        <w:overflowPunct w:val="0"/>
        <w:topLinePunct w:val="0"/>
        <w:autoSpaceDE/>
        <w:autoSpaceDN/>
        <w:bidi w:val="0"/>
        <w:adjustRightInd/>
        <w:snapToGrid/>
        <w:spacing w:line="600" w:lineRule="exact"/>
        <w:jc w:val="center"/>
        <w:textAlignment w:val="auto"/>
        <w:rPr>
          <w:rFonts w:ascii="Times New Roman" w:hAnsi="Times New Roman" w:eastAsia="方正小标宋简体" w:cs="Times New Roman"/>
          <w:sz w:val="44"/>
          <w:szCs w:val="44"/>
          <w14:ligatures w14:val="standardContextual"/>
        </w:rPr>
      </w:pPr>
      <w:r>
        <w:rPr>
          <w:rFonts w:hint="eastAsia" w:ascii="Times New Roman" w:hAnsi="Times New Roman" w:eastAsia="方正小标宋简体" w:cs="Times New Roman"/>
          <w:sz w:val="44"/>
          <w:szCs w:val="44"/>
          <w14:ligatures w14:val="standardContextual"/>
        </w:rPr>
        <w:t>发展示范区实施方案</w:t>
      </w:r>
    </w:p>
    <w:p w14:paraId="2D2F459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sz w:val="32"/>
          <w:szCs w:val="32"/>
          <w14:ligatures w14:val="standardContextual"/>
        </w:rPr>
      </w:pPr>
    </w:p>
    <w:p w14:paraId="1BF3882D">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ascii="Times New Roman" w:hAnsi="Times New Roman" w:eastAsia="仿宋_GB2312" w:cs="Times New Roman"/>
          <w:sz w:val="32"/>
          <w:szCs w:val="32"/>
          <w14:ligatures w14:val="standardContextual"/>
        </w:rPr>
      </w:pPr>
      <w:r>
        <w:rPr>
          <w:rFonts w:hint="eastAsia" w:ascii="Times New Roman" w:hAnsi="Times New Roman" w:eastAsia="仿宋_GB2312" w:cs="Times New Roman"/>
          <w:sz w:val="32"/>
          <w:szCs w:val="32"/>
          <w14:ligatures w14:val="standardContextual"/>
        </w:rPr>
        <w:t>为贯彻落实《国务院关于推进普惠金融高质量发展的实施意见》（国发〔2023〕15号）、《国务院办公厅关于做好金融</w:t>
      </w:r>
      <w:r>
        <w:rPr>
          <w:rFonts w:hint="eastAsia" w:ascii="Times New Roman" w:hAnsi="Times New Roman" w:eastAsia="仿宋_GB2312" w:cs="Times New Roman"/>
          <w:sz w:val="32"/>
          <w:szCs w:val="32"/>
          <w:lang w:eastAsia="zh-CN"/>
          <w14:ligatures w14:val="standardContextual"/>
        </w:rPr>
        <w:t>“</w:t>
      </w:r>
      <w:r>
        <w:rPr>
          <w:rFonts w:hint="eastAsia" w:ascii="Times New Roman" w:hAnsi="Times New Roman" w:eastAsia="仿宋_GB2312" w:cs="Times New Roman"/>
          <w:sz w:val="32"/>
          <w:szCs w:val="32"/>
          <w14:ligatures w14:val="standardContextual"/>
        </w:rPr>
        <w:t>五篇大文章</w:t>
      </w:r>
      <w:r>
        <w:rPr>
          <w:rFonts w:hint="eastAsia" w:ascii="Times New Roman" w:hAnsi="Times New Roman" w:eastAsia="仿宋_GB2312" w:cs="Times New Roman"/>
          <w:sz w:val="32"/>
          <w:szCs w:val="32"/>
          <w:lang w:eastAsia="zh-CN"/>
          <w14:ligatures w14:val="standardContextual"/>
        </w:rPr>
        <w:t>”</w:t>
      </w:r>
      <w:r>
        <w:rPr>
          <w:rFonts w:hint="eastAsia" w:ascii="Times New Roman" w:hAnsi="Times New Roman" w:eastAsia="仿宋_GB2312" w:cs="Times New Roman"/>
          <w:sz w:val="32"/>
          <w:szCs w:val="32"/>
          <w14:ligatures w14:val="standardContextual"/>
        </w:rPr>
        <w:t>的指导意见》（国办发〔2025〕8号）和《山东省人民政府办公厅关于印发〈山东省金融</w:t>
      </w:r>
      <w:r>
        <w:rPr>
          <w:rFonts w:hint="eastAsia" w:ascii="Times New Roman" w:hAnsi="Times New Roman" w:eastAsia="仿宋_GB2312" w:cs="Times New Roman"/>
          <w:sz w:val="32"/>
          <w:szCs w:val="32"/>
          <w:lang w:eastAsia="zh-CN"/>
          <w14:ligatures w14:val="standardContextual"/>
        </w:rPr>
        <w:t>“</w:t>
      </w:r>
      <w:r>
        <w:rPr>
          <w:rFonts w:hint="eastAsia" w:ascii="Times New Roman" w:hAnsi="Times New Roman" w:eastAsia="仿宋_GB2312" w:cs="Times New Roman"/>
          <w:sz w:val="32"/>
          <w:szCs w:val="32"/>
          <w14:ligatures w14:val="standardContextual"/>
        </w:rPr>
        <w:t>五篇大文章</w:t>
      </w:r>
      <w:r>
        <w:rPr>
          <w:rFonts w:hint="eastAsia" w:ascii="Times New Roman" w:hAnsi="Times New Roman" w:eastAsia="仿宋_GB2312" w:cs="Times New Roman"/>
          <w:sz w:val="32"/>
          <w:szCs w:val="32"/>
          <w:lang w:eastAsia="zh-CN"/>
          <w14:ligatures w14:val="standardContextual"/>
        </w:rPr>
        <w:t>”</w:t>
      </w:r>
      <w:r>
        <w:rPr>
          <w:rFonts w:hint="eastAsia" w:ascii="Times New Roman" w:hAnsi="Times New Roman" w:eastAsia="仿宋_GB2312" w:cs="Times New Roman"/>
          <w:sz w:val="32"/>
          <w:szCs w:val="32"/>
          <w14:ligatures w14:val="standardContextual"/>
        </w:rPr>
        <w:t>高质量发展实施方案〉的通知》（鲁政办发〔2025〕7号）文件精神，加快构建高水平普惠金融体系，推进普惠金融服务覆盖率、可得性、满意度持续提升，打造具有滕州特色的普惠金融发展示范区，按照《</w:t>
      </w:r>
      <w:r>
        <w:rPr>
          <w:rFonts w:ascii="Times New Roman" w:hAnsi="Times New Roman" w:eastAsia="仿宋_GB2312" w:cs="Times New Roman"/>
          <w:sz w:val="32"/>
          <w:szCs w:val="32"/>
          <w14:ligatures w14:val="standardContextual"/>
        </w:rPr>
        <w:t>关于公布2026年中央财政支持普惠金融发展示范区名单等有关事项的通知</w:t>
      </w:r>
      <w:r>
        <w:rPr>
          <w:rFonts w:hint="eastAsia" w:ascii="Times New Roman" w:hAnsi="Times New Roman" w:eastAsia="仿宋_GB2312" w:cs="Times New Roman"/>
          <w:sz w:val="32"/>
          <w:szCs w:val="32"/>
          <w14:ligatures w14:val="standardContextual"/>
        </w:rPr>
        <w:t>》（财金〔2026〕57号）要求，结合我市实际，特制定本方案。</w:t>
      </w:r>
    </w:p>
    <w:p w14:paraId="0ED17DD9">
      <w:pPr>
        <w:pStyle w:val="3"/>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一、总体目标</w:t>
      </w:r>
    </w:p>
    <w:p w14:paraId="6DFF07D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ascii="Times New Roman" w:hAnsi="Times New Roman" w:eastAsia="仿宋_GB2312" w:cs="Times New Roman"/>
          <w:sz w:val="32"/>
          <w:szCs w:val="32"/>
          <w14:ligatures w14:val="standardContextual"/>
        </w:rPr>
      </w:pPr>
      <w:r>
        <w:rPr>
          <w:rFonts w:hint="eastAsia" w:ascii="Times New Roman" w:hAnsi="Times New Roman" w:eastAsia="仿宋_GB2312" w:cs="Times New Roman"/>
          <w:sz w:val="32"/>
          <w:szCs w:val="32"/>
          <w14:ligatures w14:val="standardContextual"/>
        </w:rPr>
        <w:t>以习近平新时代中国特色社会主义思想为指导，全面贯彻党的二十大、中央金融工作会议精神，深入落实习近平总书记视察山东重要讲话精神和视察枣庄重要指示精神，立足滕州产业发展实际，充分发挥中央财政奖补资金撬动作用，调动金融资源更好地服务实体经济和民生需求。</w:t>
      </w:r>
    </w:p>
    <w:p w14:paraId="2BF992EC">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ascii="Times New Roman" w:hAnsi="Times New Roman" w:eastAsia="仿宋_GB2312" w:cs="Times New Roman"/>
          <w:sz w:val="32"/>
          <w:szCs w:val="32"/>
          <w14:ligatures w14:val="standardContextual"/>
        </w:rPr>
      </w:pPr>
      <w:r>
        <w:rPr>
          <w:rFonts w:hint="eastAsia" w:ascii="楷体_GB2312" w:hAnsi="楷体_GB2312" w:eastAsia="楷体_GB2312" w:cs="楷体_GB2312"/>
          <w:sz w:val="32"/>
          <w:szCs w:val="32"/>
          <w14:ligatures w14:val="standardContextual"/>
        </w:rPr>
        <w:t>——普惠金融覆盖面和可得性实现新提升。</w:t>
      </w:r>
      <w:r>
        <w:rPr>
          <w:rFonts w:hint="eastAsia" w:ascii="Times New Roman" w:hAnsi="Times New Roman" w:eastAsia="仿宋_GB2312" w:cs="Times New Roman"/>
          <w:sz w:val="32"/>
          <w:szCs w:val="32"/>
          <w14:ligatures w14:val="standardContextual"/>
        </w:rPr>
        <w:t>到2026年末，实现普惠型小微企业贷款余额275亿元、同比增长34.20%；实现普惠型农户生产经营性贷款余额110亿元、同比增长33.35%。</w:t>
      </w:r>
    </w:p>
    <w:p w14:paraId="3D2DEFE9">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ascii="Times New Roman" w:hAnsi="Times New Roman" w:eastAsia="仿宋_GB2312" w:cs="Times New Roman"/>
          <w:sz w:val="32"/>
          <w:szCs w:val="32"/>
          <w14:ligatures w14:val="standardContextual"/>
        </w:rPr>
      </w:pPr>
      <w:r>
        <w:rPr>
          <w:rFonts w:hint="eastAsia" w:ascii="楷体_GB2312" w:hAnsi="楷体_GB2312" w:eastAsia="楷体_GB2312" w:cs="楷体_GB2312"/>
          <w:sz w:val="32"/>
          <w:szCs w:val="32"/>
          <w14:ligatures w14:val="standardContextual"/>
        </w:rPr>
        <w:t>——融资成本和便利度得到新改善。</w:t>
      </w:r>
      <w:r>
        <w:rPr>
          <w:rFonts w:hint="eastAsia" w:ascii="Times New Roman" w:hAnsi="Times New Roman" w:eastAsia="仿宋_GB2312" w:cs="Times New Roman"/>
          <w:sz w:val="32"/>
          <w:szCs w:val="32"/>
          <w14:ligatures w14:val="standardContextual"/>
        </w:rPr>
        <w:t>到2026年末，实现新发放普惠型小微企业贷款平均利率降至3.55%、同比下降1.66%；实现小微企业信用贷款余额165亿元、同比增长81.88%。</w:t>
      </w:r>
    </w:p>
    <w:p w14:paraId="1ADD8C4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ascii="Times New Roman" w:hAnsi="Times New Roman" w:eastAsia="仿宋_GB2312" w:cs="Times New Roman"/>
          <w:sz w:val="32"/>
          <w:szCs w:val="32"/>
          <w14:ligatures w14:val="standardContextual"/>
        </w:rPr>
      </w:pPr>
      <w:r>
        <w:rPr>
          <w:rFonts w:hint="eastAsia" w:ascii="楷体_GB2312" w:hAnsi="楷体_GB2312" w:eastAsia="楷体_GB2312" w:cs="楷体_GB2312"/>
          <w:sz w:val="32"/>
          <w:szCs w:val="32"/>
          <w14:ligatures w14:val="standardContextual"/>
        </w:rPr>
        <w:t>——</w:t>
      </w:r>
      <w:r>
        <w:rPr>
          <w:rFonts w:hint="eastAsia" w:ascii="楷体_GB2312" w:hAnsi="楷体_GB2312" w:eastAsia="楷体_GB2312" w:cs="楷体_GB2312"/>
          <w:sz w:val="32"/>
          <w:szCs w:val="32"/>
          <w:lang w:eastAsia="zh-CN"/>
          <w14:ligatures w14:val="standardContextual"/>
        </w:rPr>
        <w:t>政府</w:t>
      </w:r>
      <w:r>
        <w:rPr>
          <w:rFonts w:hint="eastAsia" w:ascii="楷体_GB2312" w:hAnsi="楷体_GB2312" w:eastAsia="楷体_GB2312" w:cs="楷体_GB2312"/>
          <w:sz w:val="32"/>
          <w:szCs w:val="32"/>
          <w14:ligatures w14:val="standardContextual"/>
        </w:rPr>
        <w:t>性融资担保服务取得新突破。</w:t>
      </w:r>
      <w:r>
        <w:rPr>
          <w:rFonts w:hint="eastAsia" w:ascii="Times New Roman" w:hAnsi="Times New Roman" w:eastAsia="仿宋_GB2312" w:cs="Times New Roman"/>
          <w:sz w:val="32"/>
          <w:szCs w:val="32"/>
          <w14:ligatures w14:val="standardContextual"/>
        </w:rPr>
        <w:t>到2026年末，实现政府性融资担保业务余额8.84亿元、同比增长46.23%；剔除农担数据后政府性融资担保业务余额5.57亿元、同比增长52.15%。</w:t>
      </w:r>
    </w:p>
    <w:p w14:paraId="28F452FC">
      <w:pPr>
        <w:pStyle w:val="3"/>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二、工作措施</w:t>
      </w:r>
    </w:p>
    <w:p w14:paraId="0AF8DE8A">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ascii="Times New Roman" w:hAnsi="Times New Roman" w:eastAsia="楷体_GB2312" w:cs="Times New Roman"/>
          <w:sz w:val="32"/>
          <w:szCs w:val="32"/>
        </w:rPr>
      </w:pPr>
      <w:r>
        <w:rPr>
          <w:rFonts w:hint="eastAsia" w:ascii="Times New Roman" w:hAnsi="Times New Roman" w:eastAsia="楷体_GB2312" w:cs="Times New Roman"/>
          <w:sz w:val="32"/>
          <w:szCs w:val="32"/>
        </w:rPr>
        <w:t>（一）开展普惠扩面行动，强化重点领域信贷供给</w:t>
      </w:r>
    </w:p>
    <w:p w14:paraId="4F0A3109">
      <w:pPr>
        <w:keepNext w:val="0"/>
        <w:keepLines w:val="0"/>
        <w:pageBreakBefore w:val="0"/>
        <w:widowControl w:val="0"/>
        <w:kinsoku/>
        <w:wordWrap/>
        <w:overflowPunct w:val="0"/>
        <w:topLinePunct w:val="0"/>
        <w:autoSpaceDE/>
        <w:autoSpaceDN/>
        <w:bidi w:val="0"/>
        <w:adjustRightInd/>
        <w:snapToGrid/>
        <w:spacing w:line="62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搭建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政银企</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三方对接平台，深入推进</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春雨润苗</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金融服务进市场等特色品牌活动，打通政策传导</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最后一公里</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，提升金融服务精准度。</w:t>
      </w:r>
      <w:r>
        <w:rPr>
          <w:rFonts w:hint="eastAsia" w:ascii="Times New Roman" w:hAnsi="Times New Roman" w:eastAsia="仿宋_GB2312" w:cs="Times New Roman"/>
          <w:sz w:val="32"/>
          <w:szCs w:val="32"/>
          <w14:ligatures w14:val="standardContextual"/>
        </w:rPr>
        <w:t>推进</w:t>
      </w:r>
      <w:r>
        <w:rPr>
          <w:rFonts w:hint="eastAsia" w:ascii="Times New Roman" w:hAnsi="Times New Roman" w:eastAsia="仿宋_GB2312" w:cs="Times New Roman"/>
          <w:sz w:val="32"/>
          <w:szCs w:val="32"/>
          <w:lang w:eastAsia="zh-CN"/>
          <w14:ligatures w14:val="standardContextual"/>
        </w:rPr>
        <w:t>“</w:t>
      </w:r>
      <w:r>
        <w:rPr>
          <w:rFonts w:hint="eastAsia" w:ascii="Times New Roman" w:hAnsi="Times New Roman" w:eastAsia="仿宋_GB2312" w:cs="Times New Roman"/>
          <w:sz w:val="32"/>
          <w:szCs w:val="32"/>
          <w14:ligatures w14:val="standardContextual"/>
        </w:rPr>
        <w:t>首贷培植</w:t>
      </w:r>
      <w:r>
        <w:rPr>
          <w:rFonts w:hint="eastAsia" w:ascii="Times New Roman" w:hAnsi="Times New Roman" w:eastAsia="仿宋_GB2312" w:cs="Times New Roman"/>
          <w:sz w:val="32"/>
          <w:szCs w:val="32"/>
          <w:lang w:eastAsia="zh-CN"/>
          <w14:ligatures w14:val="standardContextual"/>
        </w:rPr>
        <w:t>”“</w:t>
      </w:r>
      <w:r>
        <w:rPr>
          <w:rFonts w:hint="eastAsia" w:ascii="Times New Roman" w:hAnsi="Times New Roman" w:eastAsia="仿宋_GB2312" w:cs="Times New Roman"/>
          <w:sz w:val="32"/>
          <w:szCs w:val="32"/>
          <w14:ligatures w14:val="standardContextual"/>
        </w:rPr>
        <w:t>信用贷款提升</w:t>
      </w:r>
      <w:r>
        <w:rPr>
          <w:rFonts w:hint="eastAsia" w:ascii="Times New Roman" w:hAnsi="Times New Roman" w:eastAsia="仿宋_GB2312" w:cs="Times New Roman"/>
          <w:sz w:val="32"/>
          <w:szCs w:val="32"/>
          <w:lang w:eastAsia="zh-CN"/>
          <w14:ligatures w14:val="standardContextual"/>
        </w:rPr>
        <w:t>”“</w:t>
      </w:r>
      <w:r>
        <w:rPr>
          <w:rFonts w:hint="eastAsia" w:ascii="Times New Roman" w:hAnsi="Times New Roman" w:eastAsia="仿宋_GB2312" w:cs="Times New Roman"/>
          <w:sz w:val="32"/>
          <w:szCs w:val="32"/>
          <w14:ligatures w14:val="standardContextual"/>
        </w:rPr>
        <w:t>续贷服务优化</w:t>
      </w:r>
      <w:r>
        <w:rPr>
          <w:rFonts w:hint="eastAsia" w:ascii="Times New Roman" w:hAnsi="Times New Roman" w:eastAsia="仿宋_GB2312" w:cs="Times New Roman"/>
          <w:sz w:val="32"/>
          <w:szCs w:val="32"/>
          <w:lang w:eastAsia="zh-CN"/>
          <w14:ligatures w14:val="standardContextual"/>
        </w:rPr>
        <w:t>”</w:t>
      </w:r>
      <w:r>
        <w:rPr>
          <w:rFonts w:hint="eastAsia" w:ascii="Times New Roman" w:hAnsi="Times New Roman" w:eastAsia="仿宋_GB2312" w:cs="Times New Roman"/>
          <w:sz w:val="32"/>
          <w:szCs w:val="32"/>
          <w14:ligatures w14:val="standardContextual"/>
        </w:rPr>
        <w:t>专项行动，充分挖掘有需求、有效益、信用好的小微企业，提高首贷户融资覆盖面，优化续贷业务流程与服务，全方位提升小微企业融资便捷度。</w:t>
      </w:r>
      <w:r>
        <w:rPr>
          <w:rFonts w:ascii="Times New Roman" w:hAnsi="Times New Roman" w:eastAsia="仿宋_GB2312" w:cs="Times New Roman"/>
          <w:sz w:val="32"/>
          <w:szCs w:val="32"/>
        </w:rPr>
        <w:t>推广</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人才贷</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科技成果转化贷</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等特色产品，引导银行机构聚焦小微企业转型升级需求，创新适配科技型、成长型小微企业的金融产品与服务模式</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14:ligatures w14:val="standardContextual"/>
        </w:rPr>
        <w:t>强化农村金融供给，推进农商银行授信</w:t>
      </w:r>
      <w:r>
        <w:rPr>
          <w:rFonts w:hint="eastAsia" w:ascii="Times New Roman" w:hAnsi="Times New Roman" w:eastAsia="仿宋_GB2312" w:cs="Times New Roman"/>
          <w:sz w:val="32"/>
          <w:szCs w:val="32"/>
          <w:lang w:eastAsia="zh-CN"/>
          <w14:ligatures w14:val="standardContextual"/>
        </w:rPr>
        <w:t>“</w:t>
      </w:r>
      <w:r>
        <w:rPr>
          <w:rFonts w:hint="eastAsia" w:ascii="Times New Roman" w:hAnsi="Times New Roman" w:eastAsia="仿宋_GB2312" w:cs="Times New Roman"/>
          <w:sz w:val="32"/>
          <w:szCs w:val="32"/>
          <w14:ligatures w14:val="standardContextual"/>
        </w:rPr>
        <w:t>百亿万户</w:t>
      </w:r>
      <w:r>
        <w:rPr>
          <w:rFonts w:hint="eastAsia" w:ascii="Times New Roman" w:hAnsi="Times New Roman" w:eastAsia="仿宋_GB2312" w:cs="Times New Roman"/>
          <w:sz w:val="32"/>
          <w:szCs w:val="32"/>
          <w:lang w:eastAsia="zh-CN"/>
          <w14:ligatures w14:val="standardContextual"/>
        </w:rPr>
        <w:t>”</w:t>
      </w:r>
      <w:r>
        <w:rPr>
          <w:rFonts w:hint="eastAsia" w:ascii="Times New Roman" w:hAnsi="Times New Roman" w:eastAsia="仿宋_GB2312" w:cs="Times New Roman"/>
          <w:sz w:val="32"/>
          <w:szCs w:val="32"/>
          <w14:ligatures w14:val="standardContextual"/>
        </w:rPr>
        <w:t>助力乡村振兴专项活动，鼓励各银行机构推行</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一镇一品、一村一色</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定制化金融服务模式，精准匹配种养大户、家庭农场等主体差异化融资需求，保障农业产业链资金供给。</w:t>
      </w:r>
      <w:r>
        <w:rPr>
          <w:rFonts w:ascii="Times New Roman" w:hAnsi="Times New Roman" w:eastAsia="仿宋_GB2312" w:cs="Times New Roman"/>
          <w:sz w:val="32"/>
          <w:szCs w:val="32"/>
        </w:rPr>
        <w:t>全面落实政策性农业保险，实现主要粮食作物完全成本保险全覆盖，同步发展特色种养险、气象指数、价格指数等新型农业险种，对冲农业经营风险。将普惠贷款等指标结果与财政资金存放挂钩，引导金融资源流向普惠薄弱环节。</w:t>
      </w:r>
    </w:p>
    <w:p w14:paraId="1371DCE3">
      <w:pPr>
        <w:keepNext w:val="0"/>
        <w:keepLines w:val="0"/>
        <w:pageBreakBefore w:val="0"/>
        <w:widowControl w:val="0"/>
        <w:kinsoku/>
        <w:wordWrap/>
        <w:overflowPunct w:val="0"/>
        <w:topLinePunct w:val="0"/>
        <w:autoSpaceDE/>
        <w:autoSpaceDN/>
        <w:bidi w:val="0"/>
        <w:adjustRightInd/>
        <w:snapToGrid/>
        <w:spacing w:line="620" w:lineRule="exact"/>
        <w:ind w:firstLine="640" w:firstLineChars="200"/>
        <w:jc w:val="both"/>
        <w:textAlignment w:val="auto"/>
        <w:rPr>
          <w:rFonts w:ascii="Times New Roman" w:hAnsi="Times New Roman" w:eastAsia="楷体_GB2312" w:cs="Times New Roman"/>
          <w:sz w:val="32"/>
          <w:szCs w:val="32"/>
        </w:rPr>
      </w:pPr>
      <w:r>
        <w:rPr>
          <w:rFonts w:hint="eastAsia" w:ascii="Times New Roman" w:hAnsi="Times New Roman" w:eastAsia="楷体_GB2312" w:cs="Times New Roman"/>
          <w:sz w:val="32"/>
          <w:szCs w:val="32"/>
        </w:rPr>
        <w:t>（二）推进信用赋能行动，做大小微信用贷款体量</w:t>
      </w:r>
    </w:p>
    <w:p w14:paraId="021DDCB0">
      <w:pPr>
        <w:keepNext w:val="0"/>
        <w:keepLines w:val="0"/>
        <w:pageBreakBefore w:val="0"/>
        <w:widowControl w:val="0"/>
        <w:kinsoku/>
        <w:wordWrap/>
        <w:overflowPunct w:val="0"/>
        <w:topLinePunct w:val="0"/>
        <w:autoSpaceDE/>
        <w:autoSpaceDN/>
        <w:bidi w:val="0"/>
        <w:adjustRightInd/>
        <w:snapToGrid/>
        <w:spacing w:line="620" w:lineRule="exact"/>
        <w:ind w:firstLine="640" w:firstLineChars="200"/>
        <w:jc w:val="both"/>
        <w:textAlignment w:val="auto"/>
        <w:rPr>
          <w:rFonts w:ascii="Times New Roman" w:hAnsi="Times New Roman" w:eastAsia="仿宋_GB2312" w:cs="Times New Roman"/>
          <w:sz w:val="32"/>
          <w:szCs w:val="32"/>
          <w14:ligatures w14:val="standardContextual"/>
        </w:rPr>
      </w:pPr>
      <w:r>
        <w:rPr>
          <w:rFonts w:hint="eastAsia" w:ascii="Times New Roman" w:hAnsi="Times New Roman" w:eastAsia="仿宋_GB2312" w:cs="Times New Roman"/>
          <w:sz w:val="32"/>
          <w:szCs w:val="32"/>
        </w:rPr>
        <w:t>瞄准我市</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化机锂医数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五大主导产业，推行</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一企一链一策</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把民营小微企业</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嵌入</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整体产业链供应链，支持通过应收账款、订单、仓单等开展</w:t>
      </w:r>
      <w:r>
        <w:rPr>
          <w:rFonts w:ascii="Times New Roman" w:hAnsi="Times New Roman" w:eastAsia="仿宋_GB2312" w:cs="Times New Roman"/>
          <w:sz w:val="32"/>
          <w:szCs w:val="32"/>
        </w:rPr>
        <w:t>供应链融资</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深化</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银税互动</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依托纳税数据为守信主体增信，对高信用企业给予额度、利率、还款方式倾斜，减少传统抵质押依赖，扩充纯信用贷款产品。建立小微、无贷户、科创企业清单，常态化开展入企走访活动，加大餐饮、文旅、新业态主体信贷支持</w:t>
      </w:r>
      <w:r>
        <w:rPr>
          <w:rFonts w:hint="eastAsia" w:ascii="Times New Roman" w:hAnsi="Times New Roman" w:eastAsia="仿宋_GB2312" w:cs="Times New Roman"/>
          <w:sz w:val="32"/>
          <w:szCs w:val="32"/>
        </w:rPr>
        <w:t>力度，</w:t>
      </w:r>
      <w:r>
        <w:rPr>
          <w:rFonts w:ascii="Times New Roman" w:hAnsi="Times New Roman" w:eastAsia="仿宋_GB2312" w:cs="Times New Roman"/>
          <w:sz w:val="32"/>
          <w:szCs w:val="32"/>
        </w:rPr>
        <w:t>做到应贷尽贷。</w:t>
      </w:r>
      <w:r>
        <w:rPr>
          <w:rFonts w:hint="eastAsia" w:ascii="Times New Roman" w:hAnsi="Times New Roman" w:eastAsia="仿宋_GB2312" w:cs="Times New Roman"/>
          <w:sz w:val="32"/>
          <w:szCs w:val="32"/>
          <w14:ligatures w14:val="standardContextual"/>
        </w:rPr>
        <w:t>优化新市民、技能型人才等普惠客群金融服务，根据不同经营特点和融资需求创新服务，开发</w:t>
      </w:r>
      <w:r>
        <w:rPr>
          <w:rFonts w:hint="eastAsia" w:ascii="Times New Roman" w:hAnsi="Times New Roman" w:eastAsia="仿宋_GB2312" w:cs="Times New Roman"/>
          <w:sz w:val="32"/>
          <w:szCs w:val="32"/>
          <w:lang w:eastAsia="zh-CN"/>
          <w14:ligatures w14:val="standardContextual"/>
        </w:rPr>
        <w:t>“</w:t>
      </w:r>
      <w:r>
        <w:rPr>
          <w:rFonts w:hint="eastAsia" w:ascii="Times New Roman" w:hAnsi="Times New Roman" w:eastAsia="仿宋_GB2312" w:cs="Times New Roman"/>
          <w:sz w:val="32"/>
          <w:szCs w:val="32"/>
          <w14:ligatures w14:val="standardContextual"/>
        </w:rPr>
        <w:t>退役军人创业贷</w:t>
      </w:r>
      <w:r>
        <w:rPr>
          <w:rFonts w:hint="eastAsia" w:ascii="Times New Roman" w:hAnsi="Times New Roman" w:eastAsia="仿宋_GB2312" w:cs="Times New Roman"/>
          <w:sz w:val="32"/>
          <w:szCs w:val="32"/>
          <w:lang w:eastAsia="zh-CN"/>
          <w14:ligatures w14:val="standardContextual"/>
        </w:rPr>
        <w:t>”“</w:t>
      </w:r>
      <w:r>
        <w:rPr>
          <w:rFonts w:hint="eastAsia" w:ascii="Times New Roman" w:hAnsi="Times New Roman" w:eastAsia="仿宋_GB2312" w:cs="Times New Roman"/>
          <w:sz w:val="32"/>
          <w:szCs w:val="32"/>
          <w14:ligatures w14:val="standardContextual"/>
        </w:rPr>
        <w:t>再就业贷款</w:t>
      </w:r>
      <w:r>
        <w:rPr>
          <w:rFonts w:hint="eastAsia" w:ascii="Times New Roman" w:hAnsi="Times New Roman" w:eastAsia="仿宋_GB2312" w:cs="Times New Roman"/>
          <w:sz w:val="32"/>
          <w:szCs w:val="32"/>
          <w:lang w:eastAsia="zh-CN"/>
          <w14:ligatures w14:val="standardContextual"/>
        </w:rPr>
        <w:t>”</w:t>
      </w:r>
      <w:r>
        <w:rPr>
          <w:rFonts w:hint="eastAsia" w:ascii="Times New Roman" w:hAnsi="Times New Roman" w:eastAsia="仿宋_GB2312" w:cs="Times New Roman"/>
          <w:sz w:val="32"/>
          <w:szCs w:val="32"/>
          <w14:ligatures w14:val="standardContextual"/>
        </w:rPr>
        <w:t>等产品，</w:t>
      </w:r>
      <w:r>
        <w:rPr>
          <w:rFonts w:hint="eastAsia" w:ascii="Times New Roman" w:hAnsi="Times New Roman" w:eastAsia="仿宋_GB2312" w:cs="Times New Roman"/>
          <w:sz w:val="32"/>
          <w:szCs w:val="32"/>
        </w:rPr>
        <w:t>持续扩大信用贷款规模。依托枣庄市普惠金融服务平台、</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农农e链</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平台，</w:t>
      </w:r>
      <w:r>
        <w:rPr>
          <w:rFonts w:ascii="Times New Roman" w:hAnsi="Times New Roman" w:eastAsia="仿宋_GB2312" w:cs="Times New Roman"/>
          <w:sz w:val="32"/>
          <w:szCs w:val="32"/>
        </w:rPr>
        <w:t>推广土地经营权、林权、</w:t>
      </w:r>
      <w:r>
        <w:rPr>
          <w:rFonts w:hint="eastAsia" w:ascii="Times New Roman" w:hAnsi="Times New Roman" w:eastAsia="仿宋_GB2312" w:cs="Times New Roman"/>
          <w:sz w:val="32"/>
          <w:szCs w:val="32"/>
        </w:rPr>
        <w:t>未来收益权</w:t>
      </w:r>
      <w:r>
        <w:rPr>
          <w:rFonts w:ascii="Times New Roman" w:hAnsi="Times New Roman" w:eastAsia="仿宋_GB2312" w:cs="Times New Roman"/>
          <w:sz w:val="32"/>
          <w:szCs w:val="32"/>
        </w:rPr>
        <w:t>等质押贷款，</w:t>
      </w:r>
      <w:r>
        <w:rPr>
          <w:rFonts w:hint="eastAsia" w:ascii="Times New Roman" w:hAnsi="Times New Roman" w:eastAsia="仿宋_GB2312" w:cs="Times New Roman"/>
          <w:sz w:val="32"/>
          <w:szCs w:val="32"/>
        </w:rPr>
        <w:t>鼓励银行开发</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强村贷</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惠农</w:t>
      </w:r>
      <w:r>
        <w:rPr>
          <w:rFonts w:ascii="Times New Roman" w:hAnsi="Times New Roman" w:eastAsia="仿宋_GB2312" w:cs="Times New Roman"/>
          <w:sz w:val="32"/>
          <w:szCs w:val="32"/>
        </w:rPr>
        <w:t>贷</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等涉农专属产品</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深耕农村信用建设，推进</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党建+信用</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示范村试点，扩大整村授信、无感授信覆盖</w:t>
      </w:r>
      <w:r>
        <w:rPr>
          <w:rFonts w:hint="eastAsia" w:ascii="Times New Roman" w:hAnsi="Times New Roman" w:eastAsia="仿宋_GB2312" w:cs="Times New Roman"/>
          <w:sz w:val="32"/>
          <w:szCs w:val="32"/>
        </w:rPr>
        <w:t>面</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实现</w:t>
      </w:r>
      <w:r>
        <w:rPr>
          <w:rFonts w:ascii="Times New Roman" w:hAnsi="Times New Roman" w:eastAsia="仿宋_GB2312" w:cs="Times New Roman"/>
          <w:sz w:val="32"/>
          <w:szCs w:val="32"/>
        </w:rPr>
        <w:t>农户全面建档评级。</w:t>
      </w:r>
      <w:r>
        <w:rPr>
          <w:rFonts w:hint="eastAsia" w:ascii="Times New Roman" w:hAnsi="Times New Roman" w:eastAsia="仿宋_GB2312" w:cs="Times New Roman"/>
          <w:sz w:val="32"/>
          <w:szCs w:val="32"/>
        </w:rPr>
        <w:t>下</w:t>
      </w:r>
      <w:r>
        <w:rPr>
          <w:rFonts w:ascii="Times New Roman" w:hAnsi="Times New Roman" w:eastAsia="仿宋_GB2312" w:cs="Times New Roman"/>
          <w:sz w:val="32"/>
          <w:szCs w:val="32"/>
        </w:rPr>
        <w:t>沉金融服务</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选派金融骨干挂职基层，组建综合金融服务团队，</w:t>
      </w:r>
      <w:r>
        <w:rPr>
          <w:rFonts w:hint="eastAsia" w:ascii="Times New Roman" w:hAnsi="Times New Roman" w:eastAsia="仿宋_GB2312" w:cs="Times New Roman"/>
          <w:sz w:val="32"/>
          <w:szCs w:val="32"/>
        </w:rPr>
        <w:t>持续</w:t>
      </w:r>
      <w:r>
        <w:rPr>
          <w:rFonts w:hint="eastAsia" w:ascii="Times New Roman" w:hAnsi="Times New Roman" w:eastAsia="仿宋_GB2312" w:cs="Times New Roman"/>
          <w:sz w:val="32"/>
          <w:szCs w:val="32"/>
          <w14:ligatures w14:val="standardContextual"/>
        </w:rPr>
        <w:t>提升民生领域金融服务质量。</w:t>
      </w:r>
    </w:p>
    <w:p w14:paraId="734B934C">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ascii="Times New Roman" w:hAnsi="Times New Roman" w:eastAsia="楷体_GB2312" w:cs="Times New Roman"/>
          <w:sz w:val="32"/>
          <w:szCs w:val="32"/>
        </w:rPr>
      </w:pPr>
      <w:r>
        <w:rPr>
          <w:rFonts w:hint="eastAsia" w:ascii="Times New Roman" w:hAnsi="Times New Roman" w:eastAsia="楷体_GB2312" w:cs="Times New Roman"/>
          <w:sz w:val="32"/>
          <w:szCs w:val="32"/>
        </w:rPr>
        <w:t>（三）实施降本让利行动，压降市场主体融资成本</w:t>
      </w:r>
    </w:p>
    <w:p w14:paraId="44F8BD57">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ascii="Times New Roman" w:hAnsi="Times New Roman" w:eastAsia="仿宋_GB2312" w:cs="Times New Roman"/>
          <w:sz w:val="32"/>
          <w:szCs w:val="32"/>
          <w14:ligatures w14:val="standardContextual"/>
        </w:rPr>
      </w:pPr>
      <w:r>
        <w:rPr>
          <w:rFonts w:ascii="Times New Roman" w:hAnsi="Times New Roman" w:eastAsia="仿宋_GB2312" w:cs="Times New Roman"/>
          <w:sz w:val="32"/>
          <w:szCs w:val="32"/>
        </w:rPr>
        <w:t>持续加大减费让利力度，精准运用再贷款、再贴现等政策工具，大力推行无还本续贷、随借随还、中长期贷款等模式，减</w:t>
      </w:r>
      <w:r>
        <w:rPr>
          <w:rFonts w:hint="eastAsia" w:ascii="Times New Roman" w:hAnsi="Times New Roman" w:eastAsia="仿宋_GB2312" w:cs="Times New Roman"/>
          <w:sz w:val="32"/>
          <w:szCs w:val="32"/>
        </w:rPr>
        <w:t>轻</w:t>
      </w:r>
      <w:r>
        <w:rPr>
          <w:rFonts w:ascii="Times New Roman" w:hAnsi="Times New Roman" w:eastAsia="仿宋_GB2312" w:cs="Times New Roman"/>
          <w:sz w:val="32"/>
          <w:szCs w:val="32"/>
        </w:rPr>
        <w:t>企业资金周转压力。</w:t>
      </w:r>
      <w:r>
        <w:rPr>
          <w:rFonts w:hint="eastAsia" w:ascii="Times New Roman" w:hAnsi="Times New Roman" w:eastAsia="仿宋_GB2312" w:cs="Times New Roman"/>
          <w:sz w:val="32"/>
          <w:szCs w:val="32"/>
          <w14:ligatures w14:val="standardContextual"/>
        </w:rPr>
        <w:t>持续升级应急转贷服务体系，稳步扩容转贷资金池，统一规范转贷收费标准，精简业务审批流程，压缩办理时限，高效化解企业续贷难题，推动普惠金融量增价降。</w:t>
      </w:r>
      <w:r>
        <w:rPr>
          <w:rFonts w:hint="eastAsia" w:ascii="Times New Roman" w:hAnsi="Times New Roman" w:eastAsia="仿宋_GB2312" w:cs="Times New Roman"/>
          <w:sz w:val="32"/>
          <w:szCs w:val="32"/>
        </w:rPr>
        <w:t>持续</w:t>
      </w:r>
      <w:r>
        <w:rPr>
          <w:rFonts w:ascii="Times New Roman" w:hAnsi="Times New Roman" w:eastAsia="仿宋_GB2312" w:cs="Times New Roman"/>
          <w:sz w:val="32"/>
          <w:szCs w:val="32"/>
        </w:rPr>
        <w:t>发挥财政资金</w:t>
      </w:r>
      <w:r>
        <w:rPr>
          <w:rFonts w:hint="eastAsia" w:ascii="Times New Roman" w:hAnsi="Times New Roman" w:eastAsia="仿宋_GB2312" w:cs="Times New Roman"/>
          <w:sz w:val="32"/>
          <w:szCs w:val="32"/>
        </w:rPr>
        <w:t>托底</w:t>
      </w:r>
      <w:r>
        <w:rPr>
          <w:rFonts w:ascii="Times New Roman" w:hAnsi="Times New Roman" w:eastAsia="仿宋_GB2312" w:cs="Times New Roman"/>
          <w:sz w:val="32"/>
          <w:szCs w:val="32"/>
        </w:rPr>
        <w:t>作用，</w:t>
      </w:r>
      <w:r>
        <w:rPr>
          <w:rFonts w:hint="eastAsia" w:ascii="Times New Roman" w:hAnsi="Times New Roman" w:eastAsia="仿宋_GB2312" w:cs="Times New Roman"/>
          <w:sz w:val="32"/>
          <w:szCs w:val="32"/>
        </w:rPr>
        <w:t>对</w:t>
      </w:r>
      <w:r>
        <w:rPr>
          <w:rFonts w:ascii="Times New Roman" w:hAnsi="Times New Roman" w:eastAsia="仿宋_GB2312" w:cs="Times New Roman"/>
          <w:sz w:val="32"/>
          <w:szCs w:val="32"/>
        </w:rPr>
        <w:t>农户生产经营性贷款</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特色农业保险保费</w:t>
      </w:r>
      <w:r>
        <w:rPr>
          <w:rFonts w:hint="eastAsia" w:ascii="Times New Roman" w:hAnsi="Times New Roman" w:eastAsia="仿宋_GB2312" w:cs="Times New Roman"/>
          <w:sz w:val="32"/>
          <w:szCs w:val="32"/>
        </w:rPr>
        <w:t>给予</w:t>
      </w:r>
      <w:r>
        <w:rPr>
          <w:rFonts w:ascii="Times New Roman" w:hAnsi="Times New Roman" w:eastAsia="仿宋_GB2312" w:cs="Times New Roman"/>
          <w:sz w:val="32"/>
          <w:szCs w:val="32"/>
        </w:rPr>
        <w:t>补贴，提升融资可及性。严格规范金融机构服务收费行为，全面清理规范不合理收费项目</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优化内部定价机制，切实降低市场主体融资负担</w:t>
      </w:r>
      <w:r>
        <w:rPr>
          <w:rFonts w:hint="eastAsia" w:ascii="Times New Roman" w:hAnsi="Times New Roman" w:eastAsia="仿宋_GB2312" w:cs="Times New Roman"/>
          <w:sz w:val="32"/>
          <w:szCs w:val="32"/>
        </w:rPr>
        <w:t>。</w:t>
      </w:r>
    </w:p>
    <w:p w14:paraId="07BBED3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ascii="Times New Roman" w:hAnsi="Times New Roman" w:eastAsia="楷体_GB2312" w:cs="Times New Roman"/>
          <w:sz w:val="32"/>
          <w:szCs w:val="32"/>
        </w:rPr>
      </w:pPr>
      <w:r>
        <w:rPr>
          <w:rFonts w:hint="eastAsia" w:ascii="Times New Roman" w:hAnsi="Times New Roman" w:eastAsia="楷体_GB2312" w:cs="Times New Roman"/>
          <w:sz w:val="32"/>
          <w:szCs w:val="32"/>
        </w:rPr>
        <w:t>（四）实施担保增信行动，提升担保综合服务效能</w:t>
      </w:r>
    </w:p>
    <w:p w14:paraId="2E3FB8E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深化政府性融资担保体系建设，加强省、市、县三级担保体系联动，争取联合担保额度与分层风险分担政策，进一步提升担保风险承载能力。落实普惠小微贷款支持工具，统筹用好再贷款、再贴现政策，落实设备更新贷款贴息、创业担保贷款贴息、科技成果转化贷款风险补偿举措，持续放大政策叠加撬动效应。做优创业金融服务，全面激活创业担保贷、稳岗扩岗专项贷款效能，推广</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归乡贷</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巾帼贷</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等特色产品，精准服务退役军人、新市民、返乡农民工、乡村四雁人才等群体，不断提升就业创业融资便利度。</w:t>
      </w:r>
      <w:r>
        <w:rPr>
          <w:rFonts w:ascii="Times New Roman" w:hAnsi="Times New Roman" w:eastAsia="仿宋_GB2312" w:cs="Times New Roman"/>
          <w:sz w:val="32"/>
          <w:szCs w:val="32"/>
        </w:rPr>
        <w:t>深化政银担合作，全面推广省级惠农担保产品，盘活土地、农机、种养订单、涉农补贴等资产资源</w:t>
      </w:r>
      <w:r>
        <w:rPr>
          <w:rFonts w:hint="eastAsia" w:ascii="Times New Roman" w:hAnsi="Times New Roman" w:eastAsia="仿宋_GB2312" w:cs="Times New Roman"/>
          <w:sz w:val="32"/>
          <w:szCs w:val="32"/>
        </w:rPr>
        <w:t>。依托枣庄市银担</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总对总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批量担保业务模式，重点加大涉农发展、科技创新、设备更新改造等重点领域担保支持力度。健全担保机构资本金动态补充机制，严格落实担保风险补偿、降费补贴、以奖代补等扶持政策，推动担保机构主动降费让利，确保支农支小担保费率不超过1%。</w:t>
      </w:r>
    </w:p>
    <w:p w14:paraId="2D7B46A8">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ascii="Times New Roman" w:hAnsi="Times New Roman" w:eastAsia="楷体_GB2312" w:cs="Times New Roman"/>
          <w:sz w:val="32"/>
          <w:szCs w:val="32"/>
        </w:rPr>
      </w:pPr>
      <w:r>
        <w:rPr>
          <w:rFonts w:hint="eastAsia" w:ascii="Times New Roman" w:hAnsi="Times New Roman" w:eastAsia="楷体_GB2312" w:cs="Times New Roman"/>
          <w:sz w:val="32"/>
          <w:szCs w:val="32"/>
        </w:rPr>
        <w:t>（五）实施生态提质行动，夯实健康有序金融生态</w:t>
      </w:r>
    </w:p>
    <w:p w14:paraId="35722124">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压实银行保险等金融机构主体责任，常态化监测普惠信贷资产质量，严控不良风险。严格落实金融产品销售适当性管理，健全投诉受理、纠纷调解、信息披露全流程机制，畅通多元投诉渠道。强化全域金融风险防控，实时排查金融风险，加大不良资产处置力度。紧盯非法集资风险，运用智能化监测平台大数据比对监测预警，发挥基层网格员力量常态化开展线下排查违规行为。采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四不两直</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现场检查、线上数据核查方式，规范典当、担保等地方金融组织经营行为。在严控风险前提下，丰富地方金融业态，坚持监管与服务并重，保障区域金融市场平稳有序运行。擦亮</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善城金螺号</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特色金融宣传品牌，搭建政策宣讲、知识普及、产品推介三位一体宣传体系，持续开展</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3·15</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消费者权益保护教育宣传周、金融消费者权益保护教育宣传月等活动，提升公众对普惠金融政策、诚信激励和违法失信惩戒政策的理解，增强公众对非法集资的防范意识和识别能力。</w:t>
      </w:r>
    </w:p>
    <w:p w14:paraId="74B60815">
      <w:pPr>
        <w:pStyle w:val="3"/>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三、资金使用</w:t>
      </w:r>
    </w:p>
    <w:p w14:paraId="6E62255E">
      <w:pPr>
        <w:pStyle w:val="3"/>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ascii="Times New Roman" w:hAnsi="Times New Roman" w:eastAsia="仿宋_GB2312" w:cs="Times New Roman"/>
          <w:sz w:val="32"/>
          <w:szCs w:val="32"/>
          <w14:ligatures w14:val="standardContextual"/>
        </w:rPr>
      </w:pPr>
      <w:r>
        <w:rPr>
          <w:rFonts w:hint="eastAsia" w:ascii="Times New Roman" w:hAnsi="Times New Roman" w:eastAsia="仿宋_GB2312" w:cs="Times New Roman"/>
          <w:sz w:val="32"/>
          <w:szCs w:val="32"/>
          <w14:ligatures w14:val="standardContextual"/>
        </w:rPr>
        <w:t>严格规范资金分配、使用、拨付等流程，统筹安排中央预算资金和市财政按1:1比例配套的2000万元资金，用于普惠重点领域贷款贴息、</w:t>
      </w:r>
      <w:r>
        <w:rPr>
          <w:rFonts w:hint="eastAsia" w:ascii="Times New Roman" w:hAnsi="Times New Roman" w:eastAsia="仿宋_GB2312" w:cs="Times New Roman"/>
          <w:sz w:val="32"/>
          <w:szCs w:val="32"/>
          <w:lang w:eastAsia="zh-CN"/>
          <w14:ligatures w14:val="standardContextual"/>
        </w:rPr>
        <w:t>农业</w:t>
      </w:r>
      <w:r>
        <w:rPr>
          <w:rFonts w:hint="eastAsia" w:ascii="Times New Roman" w:hAnsi="Times New Roman" w:eastAsia="仿宋_GB2312" w:cs="Times New Roman"/>
          <w:sz w:val="32"/>
          <w:szCs w:val="32"/>
          <w14:ligatures w14:val="standardContextual"/>
        </w:rPr>
        <w:t>保险补贴、政府性融资担保业务风险补偿、应急转</w:t>
      </w:r>
      <w:r>
        <w:rPr>
          <w:rFonts w:hint="eastAsia" w:ascii="Times New Roman" w:hAnsi="Times New Roman" w:eastAsia="仿宋_GB2312" w:cs="Times New Roman"/>
          <w:sz w:val="32"/>
          <w:szCs w:val="32"/>
          <w:lang w:eastAsia="zh-CN"/>
          <w14:ligatures w14:val="standardContextual"/>
        </w:rPr>
        <w:t>贷</w:t>
      </w:r>
      <w:r>
        <w:rPr>
          <w:rFonts w:hint="eastAsia" w:ascii="Times New Roman" w:hAnsi="Times New Roman" w:eastAsia="仿宋_GB2312" w:cs="Times New Roman"/>
          <w:sz w:val="32"/>
          <w:szCs w:val="32"/>
          <w14:ligatures w14:val="standardContextual"/>
        </w:rPr>
        <w:t>平台资本金补充等领域，确保发挥资金最大效益。</w:t>
      </w:r>
    </w:p>
    <w:p w14:paraId="5DEA44FD">
      <w:pPr>
        <w:pStyle w:val="3"/>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四、工作保障</w:t>
      </w:r>
    </w:p>
    <w:p w14:paraId="210B6464">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sz w:val="32"/>
          <w:szCs w:val="32"/>
          <w14:ligatures w14:val="standardContextual"/>
        </w:rPr>
      </w:pPr>
      <w:r>
        <w:rPr>
          <w:rFonts w:hint="eastAsia" w:ascii="Times New Roman" w:hAnsi="Times New Roman" w:eastAsia="仿宋_GB2312" w:cs="Times New Roman"/>
          <w:sz w:val="32"/>
          <w:szCs w:val="32"/>
          <w14:ligatures w14:val="standardContextual"/>
        </w:rPr>
        <w:t>成立滕州市建设中央财政支持普惠金融发展示范区建设工作推进专班，由市政府主要领导担任总指挥，市财政局、人社局、科技局、金融监管部门及各金融机构负责人为成员，统筹推进示范区建设各项工作。市财政局作为专班的牵头部门，要常态化开展普惠金融示范区建设核心指标的动态监测、数据分析和态势研判。各成员单位要加大工作宣传力度，推动金融政策进车间、进门店、进村居，提升全市各类经营主体普惠金融政策的获得度。</w:t>
      </w:r>
    </w:p>
    <w:p w14:paraId="2D4AF95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sz w:val="32"/>
          <w:szCs w:val="32"/>
          <w14:ligatures w14:val="standardContextual"/>
        </w:rPr>
      </w:pPr>
    </w:p>
    <w:p w14:paraId="2D95DF7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附件：滕州市</w:t>
      </w:r>
      <w:r>
        <w:rPr>
          <w:rFonts w:hint="eastAsia" w:ascii="Times New Roman" w:hAnsi="Times New Roman" w:eastAsia="仿宋_GB2312" w:cs="Times New Roman"/>
          <w:sz w:val="32"/>
          <w:szCs w:val="32"/>
        </w:rPr>
        <w:t>建设中央</w:t>
      </w:r>
      <w:r>
        <w:rPr>
          <w:rFonts w:ascii="Times New Roman" w:hAnsi="Times New Roman" w:eastAsia="仿宋_GB2312" w:cs="Times New Roman"/>
          <w:sz w:val="32"/>
          <w:szCs w:val="32"/>
        </w:rPr>
        <w:t>财政支持普惠金融发展示范区</w:t>
      </w:r>
      <w:r>
        <w:rPr>
          <w:rFonts w:hint="eastAsia" w:ascii="Times New Roman" w:hAnsi="Times New Roman" w:eastAsia="仿宋_GB2312" w:cs="Times New Roman"/>
          <w:sz w:val="32"/>
          <w:szCs w:val="32"/>
        </w:rPr>
        <w:t>工作推进专班</w:t>
      </w:r>
      <w:r>
        <w:rPr>
          <w:rFonts w:ascii="Times New Roman" w:hAnsi="Times New Roman" w:eastAsia="仿宋_GB2312" w:cs="Times New Roman"/>
          <w:sz w:val="32"/>
          <w:szCs w:val="32"/>
        </w:rPr>
        <w:t>名单</w:t>
      </w:r>
    </w:p>
    <w:p w14:paraId="252862FF">
      <w:pPr>
        <w:rPr>
          <w:rFonts w:ascii="黑体" w:hAnsi="黑体" w:eastAsia="黑体" w:cs="黑体"/>
          <w:sz w:val="32"/>
          <w:szCs w:val="32"/>
        </w:rPr>
      </w:pPr>
    </w:p>
    <w:p w14:paraId="057C4676">
      <w:pPr>
        <w:rPr>
          <w:rFonts w:ascii="黑体" w:hAnsi="黑体" w:eastAsia="黑体" w:cs="黑体"/>
          <w:sz w:val="32"/>
          <w:szCs w:val="32"/>
        </w:rPr>
      </w:pPr>
    </w:p>
    <w:p w14:paraId="51B9E925">
      <w:pPr>
        <w:rPr>
          <w:rFonts w:ascii="黑体" w:hAnsi="黑体" w:eastAsia="黑体" w:cs="黑体"/>
          <w:sz w:val="32"/>
          <w:szCs w:val="32"/>
        </w:rPr>
      </w:pPr>
    </w:p>
    <w:p w14:paraId="05F37136">
      <w:pPr>
        <w:rPr>
          <w:rFonts w:ascii="黑体" w:hAnsi="黑体" w:eastAsia="黑体" w:cs="黑体"/>
          <w:sz w:val="32"/>
          <w:szCs w:val="32"/>
        </w:rPr>
      </w:pPr>
    </w:p>
    <w:p w14:paraId="482AF11E">
      <w:pPr>
        <w:keepNext w:val="0"/>
        <w:keepLines w:val="0"/>
        <w:pageBreakBefore w:val="0"/>
        <w:widowControl w:val="0"/>
        <w:kinsoku/>
        <w:wordWrap/>
        <w:overflowPunct w:val="0"/>
        <w:topLinePunct w:val="0"/>
        <w:autoSpaceDE/>
        <w:autoSpaceDN/>
        <w:bidi w:val="0"/>
        <w:adjustRightInd/>
        <w:snapToGrid/>
        <w:spacing w:line="600" w:lineRule="exact"/>
        <w:textAlignment w:val="auto"/>
        <w:rPr>
          <w:rFonts w:ascii="黑体" w:hAnsi="黑体" w:eastAsia="黑体" w:cs="黑体"/>
          <w:sz w:val="32"/>
          <w:szCs w:val="32"/>
        </w:rPr>
      </w:pPr>
      <w:r>
        <w:rPr>
          <w:rFonts w:hint="eastAsia" w:ascii="黑体" w:hAnsi="黑体" w:eastAsia="黑体" w:cs="黑体"/>
          <w:sz w:val="32"/>
          <w:szCs w:val="32"/>
        </w:rPr>
        <w:t>附件：</w:t>
      </w:r>
    </w:p>
    <w:p w14:paraId="4EF121FA">
      <w:pPr>
        <w:keepNext w:val="0"/>
        <w:keepLines w:val="0"/>
        <w:pageBreakBefore w:val="0"/>
        <w:widowControl w:val="0"/>
        <w:kinsoku/>
        <w:wordWrap/>
        <w:overflowPunct w:val="0"/>
        <w:topLinePunct w:val="0"/>
        <w:autoSpaceDE/>
        <w:autoSpaceDN/>
        <w:bidi w:val="0"/>
        <w:adjustRightInd/>
        <w:snapToGrid/>
        <w:spacing w:line="600" w:lineRule="exact"/>
        <w:textAlignment w:val="auto"/>
        <w:rPr>
          <w:rFonts w:ascii="黑体" w:hAnsi="黑体" w:eastAsia="黑体" w:cs="黑体"/>
          <w:sz w:val="32"/>
          <w:szCs w:val="32"/>
        </w:rPr>
      </w:pPr>
    </w:p>
    <w:p w14:paraId="312061DF">
      <w:pPr>
        <w:keepNext w:val="0"/>
        <w:keepLines w:val="0"/>
        <w:pageBreakBefore w:val="0"/>
        <w:widowControl w:val="0"/>
        <w:kinsoku/>
        <w:wordWrap/>
        <w:overflowPunct w:val="0"/>
        <w:topLinePunct w:val="0"/>
        <w:autoSpaceDE/>
        <w:autoSpaceDN/>
        <w:bidi w:val="0"/>
        <w:adjustRightInd/>
        <w:snapToGrid/>
        <w:spacing w:line="600" w:lineRule="exact"/>
        <w:jc w:val="center"/>
        <w:textAlignment w:val="auto"/>
        <w:rPr>
          <w:rFonts w:ascii="Times New Roman" w:hAnsi="Times New Roman" w:eastAsia="方正小标宋简体" w:cs="Times New Roman"/>
          <w:sz w:val="44"/>
          <w:szCs w:val="44"/>
          <w14:ligatures w14:val="standardContextual"/>
        </w:rPr>
      </w:pPr>
      <w:r>
        <w:rPr>
          <w:rFonts w:hint="eastAsia" w:ascii="Times New Roman" w:hAnsi="Times New Roman" w:eastAsia="方正小标宋简体" w:cs="Times New Roman"/>
          <w:sz w:val="44"/>
          <w:szCs w:val="44"/>
          <w14:ligatures w14:val="standardContextual"/>
        </w:rPr>
        <w:t>滕州市建设中央财政支持普惠金融</w:t>
      </w:r>
    </w:p>
    <w:p w14:paraId="1D929605">
      <w:pPr>
        <w:keepNext w:val="0"/>
        <w:keepLines w:val="0"/>
        <w:pageBreakBefore w:val="0"/>
        <w:widowControl w:val="0"/>
        <w:kinsoku/>
        <w:wordWrap/>
        <w:overflowPunct w:val="0"/>
        <w:topLinePunct w:val="0"/>
        <w:autoSpaceDE/>
        <w:autoSpaceDN/>
        <w:bidi w:val="0"/>
        <w:adjustRightInd/>
        <w:snapToGrid/>
        <w:spacing w:line="600" w:lineRule="exact"/>
        <w:jc w:val="center"/>
        <w:textAlignment w:val="auto"/>
        <w:rPr>
          <w:rFonts w:ascii="Times New Roman" w:hAnsi="Times New Roman" w:eastAsia="方正小标宋简体" w:cs="Times New Roman"/>
          <w:sz w:val="44"/>
          <w:szCs w:val="44"/>
          <w14:ligatures w14:val="standardContextual"/>
        </w:rPr>
      </w:pPr>
      <w:r>
        <w:rPr>
          <w:rFonts w:hint="eastAsia" w:ascii="Times New Roman" w:hAnsi="Times New Roman" w:eastAsia="方正小标宋简体" w:cs="Times New Roman"/>
          <w:sz w:val="44"/>
          <w:szCs w:val="44"/>
          <w14:ligatures w14:val="standardContextual"/>
        </w:rPr>
        <w:t>发展示范区工作推进专班名单</w:t>
      </w:r>
    </w:p>
    <w:p w14:paraId="272357BE">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sz w:val="32"/>
          <w:szCs w:val="32"/>
        </w:rPr>
      </w:pPr>
    </w:p>
    <w:p w14:paraId="02FD695D">
      <w:pPr>
        <w:keepNext w:val="0"/>
        <w:keepLines w:val="0"/>
        <w:pageBreakBefore w:val="0"/>
        <w:widowControl w:val="0"/>
        <w:kinsoku/>
        <w:wordWrap/>
        <w:overflowPunct w:val="0"/>
        <w:topLinePunct w:val="0"/>
        <w:autoSpaceDE/>
        <w:autoSpaceDN/>
        <w:bidi w:val="0"/>
        <w:adjustRightInd/>
        <w:snapToGrid/>
        <w:spacing w:line="600" w:lineRule="exact"/>
        <w:ind w:firstLine="643" w:firstLineChars="200"/>
        <w:jc w:val="left"/>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kern w:val="32"/>
          <w:sz w:val="32"/>
          <w:szCs w:val="32"/>
        </w:rPr>
        <w:t>总 指 挥：</w:t>
      </w:r>
      <w:r>
        <w:rPr>
          <w:rFonts w:hint="eastAsia" w:ascii="Times New Roman" w:hAnsi="Times New Roman" w:eastAsia="仿宋_GB2312" w:cs="Times New Roman"/>
          <w:sz w:val="32"/>
          <w:szCs w:val="32"/>
        </w:rPr>
        <w:t>刘晓璐  市委副书记、市长</w:t>
      </w:r>
    </w:p>
    <w:p w14:paraId="212FDEF4">
      <w:pPr>
        <w:keepNext w:val="0"/>
        <w:keepLines w:val="0"/>
        <w:pageBreakBefore w:val="0"/>
        <w:widowControl w:val="0"/>
        <w:kinsoku/>
        <w:wordWrap/>
        <w:overflowPunct w:val="0"/>
        <w:topLinePunct w:val="0"/>
        <w:autoSpaceDE/>
        <w:autoSpaceDN/>
        <w:bidi w:val="0"/>
        <w:adjustRightInd/>
        <w:snapToGrid/>
        <w:spacing w:line="600" w:lineRule="exact"/>
        <w:ind w:firstLine="643" w:firstLineChars="200"/>
        <w:jc w:val="left"/>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kern w:val="32"/>
          <w:sz w:val="32"/>
          <w:szCs w:val="32"/>
        </w:rPr>
        <w:t>指 挥 长：</w:t>
      </w:r>
      <w:r>
        <w:rPr>
          <w:rFonts w:hint="eastAsia" w:ascii="Times New Roman" w:hAnsi="Times New Roman" w:eastAsia="仿宋_GB2312" w:cs="Times New Roman"/>
          <w:sz w:val="32"/>
          <w:szCs w:val="32"/>
        </w:rPr>
        <w:t>赵  炜  市委常委、副市长</w:t>
      </w:r>
    </w:p>
    <w:p w14:paraId="7E0214CD">
      <w:pPr>
        <w:keepNext w:val="0"/>
        <w:keepLines w:val="0"/>
        <w:pageBreakBefore w:val="0"/>
        <w:widowControl w:val="0"/>
        <w:kinsoku/>
        <w:wordWrap/>
        <w:overflowPunct w:val="0"/>
        <w:topLinePunct w:val="0"/>
        <w:autoSpaceDE/>
        <w:autoSpaceDN/>
        <w:bidi w:val="0"/>
        <w:adjustRightInd/>
        <w:snapToGrid/>
        <w:spacing w:line="600" w:lineRule="exact"/>
        <w:ind w:left="3529" w:leftChars="304" w:hanging="2891" w:hangingChars="900"/>
        <w:textAlignment w:val="auto"/>
        <w:rPr>
          <w:rFonts w:ascii="Times New Roman" w:hAnsi="Times New Roman" w:eastAsia="仿宋_GB2312" w:cs="Times New Roman"/>
          <w:b/>
          <w:bCs/>
          <w:w w:val="98"/>
          <w:sz w:val="32"/>
          <w:szCs w:val="32"/>
          <w:shd w:val="clear" w:color="auto" w:fill="auto"/>
        </w:rPr>
      </w:pPr>
      <w:r>
        <w:rPr>
          <w:rFonts w:hint="eastAsia" w:ascii="Times New Roman" w:hAnsi="Times New Roman" w:eastAsia="仿宋_GB2312" w:cs="Times New Roman"/>
          <w:b/>
          <w:bCs/>
          <w:sz w:val="32"/>
          <w:szCs w:val="32"/>
        </w:rPr>
        <w:t>副指挥长：</w:t>
      </w:r>
      <w:r>
        <w:rPr>
          <w:rFonts w:hint="eastAsia" w:ascii="Times New Roman" w:hAnsi="Times New Roman" w:eastAsia="仿宋_GB2312" w:cs="Times New Roman"/>
          <w:sz w:val="32"/>
          <w:szCs w:val="32"/>
        </w:rPr>
        <w:t>徐  俊</w:t>
      </w:r>
      <w:r>
        <w:rPr>
          <w:rFonts w:hint="eastAsia" w:ascii="Times New Roman" w:hAnsi="Times New Roman" w:eastAsia="仿宋_GB2312" w:cs="Times New Roman"/>
          <w:w w:val="99"/>
          <w:sz w:val="32"/>
          <w:szCs w:val="32"/>
        </w:rPr>
        <w:t xml:space="preserve">  </w:t>
      </w:r>
      <w:r>
        <w:rPr>
          <w:rFonts w:hint="eastAsia" w:ascii="Times New Roman" w:hAnsi="Times New Roman" w:eastAsia="仿宋_GB2312" w:cs="Times New Roman"/>
          <w:w w:val="98"/>
          <w:sz w:val="32"/>
          <w:szCs w:val="32"/>
          <w:shd w:val="clear" w:color="auto" w:fill="auto"/>
        </w:rPr>
        <w:t>市财政局党组书记、局长，市金融稳定发展领导小组办公室主任</w:t>
      </w:r>
    </w:p>
    <w:p w14:paraId="66FD25CA">
      <w:pPr>
        <w:keepNext w:val="0"/>
        <w:keepLines w:val="0"/>
        <w:pageBreakBefore w:val="0"/>
        <w:widowControl w:val="0"/>
        <w:kinsoku/>
        <w:wordWrap/>
        <w:overflowPunct w:val="0"/>
        <w:topLinePunct w:val="0"/>
        <w:autoSpaceDE/>
        <w:autoSpaceDN/>
        <w:bidi w:val="0"/>
        <w:adjustRightInd/>
        <w:snapToGrid/>
        <w:spacing w:line="600" w:lineRule="exact"/>
        <w:ind w:left="3529" w:leftChars="304" w:hanging="2891" w:hangingChars="900"/>
        <w:textAlignment w:val="auto"/>
        <w:rPr>
          <w:rFonts w:hint="eastAsia" w:ascii="Times New Roman" w:hAnsi="Times New Roman" w:eastAsia="仿宋_GB2312" w:cs="Times New Roman"/>
          <w:w w:val="98"/>
          <w:sz w:val="32"/>
          <w:szCs w:val="32"/>
        </w:rPr>
      </w:pPr>
      <w:r>
        <w:rPr>
          <w:rFonts w:hint="eastAsia" w:ascii="Times New Roman" w:hAnsi="Times New Roman" w:eastAsia="仿宋_GB2312" w:cs="Times New Roman"/>
          <w:b/>
          <w:bCs/>
          <w:sz w:val="32"/>
          <w:szCs w:val="32"/>
        </w:rPr>
        <w:t>组    长：</w:t>
      </w:r>
      <w:r>
        <w:rPr>
          <w:rFonts w:hint="eastAsia" w:ascii="Times New Roman" w:hAnsi="Times New Roman" w:eastAsia="仿宋_GB2312" w:cs="Times New Roman"/>
          <w:sz w:val="32"/>
          <w:szCs w:val="32"/>
        </w:rPr>
        <w:t>吕红光</w:t>
      </w:r>
      <w:r>
        <w:rPr>
          <w:rFonts w:hint="eastAsia" w:ascii="Times New Roman" w:hAnsi="Times New Roman" w:eastAsia="仿宋_GB2312" w:cs="Times New Roman"/>
          <w:w w:val="97"/>
          <w:sz w:val="32"/>
          <w:szCs w:val="32"/>
        </w:rPr>
        <w:t xml:space="preserve">  </w:t>
      </w:r>
      <w:r>
        <w:rPr>
          <w:rFonts w:hint="eastAsia" w:ascii="Times New Roman" w:hAnsi="Times New Roman" w:eastAsia="仿宋_GB2312" w:cs="Times New Roman"/>
          <w:w w:val="98"/>
          <w:sz w:val="32"/>
          <w:szCs w:val="32"/>
        </w:rPr>
        <w:t>市财政局党组成员、市金融运行监测</w:t>
      </w:r>
    </w:p>
    <w:p w14:paraId="60B96C36">
      <w:pPr>
        <w:keepNext w:val="0"/>
        <w:keepLines w:val="0"/>
        <w:pageBreakBefore w:val="0"/>
        <w:widowControl w:val="0"/>
        <w:kinsoku/>
        <w:wordWrap/>
        <w:overflowPunct w:val="0"/>
        <w:topLinePunct w:val="0"/>
        <w:autoSpaceDE/>
        <w:autoSpaceDN/>
        <w:bidi w:val="0"/>
        <w:adjustRightInd/>
        <w:snapToGrid/>
        <w:spacing w:line="600" w:lineRule="exact"/>
        <w:ind w:left="3511" w:leftChars="1672" w:firstLine="0" w:firstLineChars="0"/>
        <w:textAlignment w:val="auto"/>
        <w:rPr>
          <w:rFonts w:hint="eastAsia" w:ascii="Times New Roman" w:hAnsi="Times New Roman" w:eastAsia="仿宋_GB2312" w:cs="Times New Roman"/>
          <w:w w:val="98"/>
          <w:sz w:val="32"/>
          <w:szCs w:val="32"/>
        </w:rPr>
      </w:pPr>
      <w:r>
        <w:rPr>
          <w:rFonts w:hint="eastAsia" w:ascii="Times New Roman" w:hAnsi="Times New Roman" w:eastAsia="仿宋_GB2312" w:cs="Times New Roman"/>
          <w:w w:val="98"/>
          <w:sz w:val="32"/>
          <w:szCs w:val="32"/>
        </w:rPr>
        <w:t>中心主任</w:t>
      </w:r>
    </w:p>
    <w:p w14:paraId="073E7FC8">
      <w:pPr>
        <w:keepNext w:val="0"/>
        <w:keepLines w:val="0"/>
        <w:pageBreakBefore w:val="0"/>
        <w:widowControl w:val="0"/>
        <w:kinsoku/>
        <w:wordWrap/>
        <w:overflowPunct w:val="0"/>
        <w:topLinePunct w:val="0"/>
        <w:autoSpaceDE/>
        <w:autoSpaceDN/>
        <w:bidi w:val="0"/>
        <w:adjustRightInd/>
        <w:snapToGrid/>
        <w:spacing w:line="600" w:lineRule="exact"/>
        <w:ind w:firstLine="643"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副 组 长：</w:t>
      </w:r>
      <w:r>
        <w:rPr>
          <w:rFonts w:hint="eastAsia" w:ascii="Times New Roman" w:hAnsi="Times New Roman" w:eastAsia="仿宋_GB2312" w:cs="Times New Roman"/>
          <w:sz w:val="32"/>
          <w:szCs w:val="32"/>
        </w:rPr>
        <w:t>宿蓓蓓  市金融运行监测中心副主任</w:t>
      </w:r>
    </w:p>
    <w:p w14:paraId="137BD7CA">
      <w:pPr>
        <w:keepNext w:val="0"/>
        <w:keepLines w:val="0"/>
        <w:pageBreakBefore w:val="0"/>
        <w:widowControl w:val="0"/>
        <w:kinsoku/>
        <w:wordWrap/>
        <w:overflowPunct w:val="0"/>
        <w:topLinePunct w:val="0"/>
        <w:autoSpaceDE/>
        <w:autoSpaceDN/>
        <w:bidi w:val="0"/>
        <w:adjustRightInd/>
        <w:snapToGrid/>
        <w:spacing w:line="600" w:lineRule="exact"/>
        <w:ind w:left="3518" w:leftChars="304" w:right="-115" w:rightChars="-55" w:hanging="2880" w:hangingChars="900"/>
        <w:textAlignment w:val="auto"/>
        <w:rPr>
          <w:rFonts w:hint="eastAsia" w:ascii="Times New Roman" w:hAnsi="Times New Roman" w:eastAsia="仿宋_GB2312" w:cs="Times New Roman"/>
          <w:w w:val="97"/>
          <w:sz w:val="32"/>
          <w:szCs w:val="32"/>
        </w:rPr>
      </w:pP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 xml:space="preserve">    </w:t>
      </w:r>
      <w:r>
        <w:rPr>
          <w:rFonts w:hint="eastAsia" w:ascii="仿宋_GB2312" w:hAnsi="仿宋_GB2312" w:eastAsia="仿宋_GB2312" w:cs="仿宋_GB2312"/>
          <w:sz w:val="32"/>
          <w:szCs w:val="32"/>
        </w:rPr>
        <w:t>杜文战</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w w:val="97"/>
          <w:sz w:val="32"/>
          <w:szCs w:val="32"/>
        </w:rPr>
        <w:t>国家金融监督管理总局滕州监管支局党委委员、副局长、纪委书记</w:t>
      </w:r>
    </w:p>
    <w:p w14:paraId="01469947">
      <w:pPr>
        <w:keepNext w:val="0"/>
        <w:keepLines w:val="0"/>
        <w:pageBreakBefore w:val="0"/>
        <w:widowControl w:val="0"/>
        <w:kinsoku/>
        <w:wordWrap/>
        <w:overflowPunct w:val="0"/>
        <w:topLinePunct w:val="0"/>
        <w:autoSpaceDE/>
        <w:autoSpaceDN/>
        <w:bidi w:val="0"/>
        <w:adjustRightInd/>
        <w:snapToGrid/>
        <w:spacing w:line="600" w:lineRule="exact"/>
        <w:ind w:firstLine="643"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成    员：</w:t>
      </w:r>
      <w:r>
        <w:rPr>
          <w:rFonts w:hint="eastAsia" w:ascii="Times New Roman" w:hAnsi="Times New Roman" w:eastAsia="仿宋_GB2312" w:cs="Times New Roman"/>
          <w:sz w:val="32"/>
          <w:szCs w:val="32"/>
        </w:rPr>
        <w:t>秦伟男  农发银行滕州市支行副行长</w:t>
      </w:r>
      <w:bookmarkStart w:id="0" w:name="_GoBack"/>
      <w:bookmarkEnd w:id="0"/>
    </w:p>
    <w:p w14:paraId="3DFB81A4">
      <w:pPr>
        <w:keepNext w:val="0"/>
        <w:keepLines w:val="0"/>
        <w:pageBreakBefore w:val="0"/>
        <w:widowControl w:val="0"/>
        <w:kinsoku/>
        <w:wordWrap/>
        <w:overflowPunct w:val="0"/>
        <w:topLinePunct w:val="0"/>
        <w:autoSpaceDE/>
        <w:autoSpaceDN/>
        <w:bidi w:val="0"/>
        <w:adjustRightInd/>
        <w:snapToGrid/>
        <w:spacing w:line="600" w:lineRule="exact"/>
        <w:ind w:firstLine="2240" w:firstLineChars="7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贺  洋  工商银行滕州支行副行长</w:t>
      </w:r>
    </w:p>
    <w:p w14:paraId="64A0F02A">
      <w:pPr>
        <w:keepNext w:val="0"/>
        <w:keepLines w:val="0"/>
        <w:pageBreakBefore w:val="0"/>
        <w:widowControl w:val="0"/>
        <w:kinsoku/>
        <w:wordWrap/>
        <w:overflowPunct w:val="0"/>
        <w:topLinePunct w:val="0"/>
        <w:autoSpaceDE/>
        <w:autoSpaceDN/>
        <w:bidi w:val="0"/>
        <w:adjustRightInd/>
        <w:snapToGrid/>
        <w:spacing w:line="600" w:lineRule="exact"/>
        <w:ind w:firstLine="2240" w:firstLineChars="7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孟  博  农业银行滕州市支行副行长</w:t>
      </w:r>
    </w:p>
    <w:p w14:paraId="50B1F062">
      <w:pPr>
        <w:keepNext w:val="0"/>
        <w:keepLines w:val="0"/>
        <w:pageBreakBefore w:val="0"/>
        <w:widowControl w:val="0"/>
        <w:kinsoku/>
        <w:wordWrap/>
        <w:overflowPunct w:val="0"/>
        <w:topLinePunct w:val="0"/>
        <w:autoSpaceDE/>
        <w:autoSpaceDN/>
        <w:bidi w:val="0"/>
        <w:adjustRightInd/>
        <w:snapToGrid/>
        <w:spacing w:line="600" w:lineRule="exact"/>
        <w:ind w:firstLine="2240" w:firstLineChars="700"/>
        <w:textAlignment w:val="auto"/>
        <w:rPr>
          <w:rFonts w:ascii="Times New Roman" w:hAnsi="Times New Roman" w:eastAsia="仿宋_GB2312" w:cs="Times New Roman"/>
          <w:sz w:val="32"/>
          <w:szCs w:val="32"/>
        </w:rPr>
      </w:pPr>
      <w:r>
        <w:rPr>
          <w:rFonts w:hint="eastAsia" w:ascii="仿宋_GB2312" w:hAnsi="仿宋_GB2312" w:eastAsia="仿宋_GB2312" w:cs="仿宋_GB2312"/>
          <w:sz w:val="32"/>
          <w:szCs w:val="32"/>
        </w:rPr>
        <w:t xml:space="preserve">杨艳平  </w:t>
      </w:r>
      <w:r>
        <w:rPr>
          <w:rFonts w:hint="eastAsia" w:ascii="Times New Roman" w:hAnsi="Times New Roman" w:eastAsia="仿宋_GB2312" w:cs="Times New Roman"/>
          <w:sz w:val="32"/>
          <w:szCs w:val="32"/>
        </w:rPr>
        <w:t>中国银行滕州支行副行长</w:t>
      </w:r>
    </w:p>
    <w:p w14:paraId="2C243BCD">
      <w:pPr>
        <w:keepNext w:val="0"/>
        <w:keepLines w:val="0"/>
        <w:pageBreakBefore w:val="0"/>
        <w:widowControl w:val="0"/>
        <w:kinsoku/>
        <w:wordWrap/>
        <w:overflowPunct w:val="0"/>
        <w:topLinePunct w:val="0"/>
        <w:autoSpaceDE/>
        <w:autoSpaceDN/>
        <w:bidi w:val="0"/>
        <w:adjustRightInd/>
        <w:snapToGrid/>
        <w:spacing w:line="600" w:lineRule="exact"/>
        <w:ind w:firstLine="2240" w:firstLineChars="7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牛  旭  建设银行滕州市支行副行长</w:t>
      </w:r>
    </w:p>
    <w:p w14:paraId="383790BC">
      <w:pPr>
        <w:keepNext w:val="0"/>
        <w:keepLines w:val="0"/>
        <w:pageBreakBefore w:val="0"/>
        <w:widowControl w:val="0"/>
        <w:kinsoku/>
        <w:wordWrap/>
        <w:overflowPunct w:val="0"/>
        <w:topLinePunct w:val="0"/>
        <w:autoSpaceDE/>
        <w:autoSpaceDN/>
        <w:bidi w:val="0"/>
        <w:adjustRightInd/>
        <w:snapToGrid/>
        <w:spacing w:line="600" w:lineRule="exact"/>
        <w:ind w:firstLine="2240" w:firstLineChars="7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杨  帆  交通银行滕州支行副行长</w:t>
      </w:r>
    </w:p>
    <w:p w14:paraId="550178EA">
      <w:pPr>
        <w:keepNext w:val="0"/>
        <w:keepLines w:val="0"/>
        <w:pageBreakBefore w:val="0"/>
        <w:widowControl w:val="0"/>
        <w:kinsoku/>
        <w:wordWrap/>
        <w:overflowPunct w:val="0"/>
        <w:topLinePunct w:val="0"/>
        <w:autoSpaceDE/>
        <w:autoSpaceDN/>
        <w:bidi w:val="0"/>
        <w:adjustRightInd/>
        <w:snapToGrid/>
        <w:spacing w:line="600" w:lineRule="exact"/>
        <w:ind w:firstLine="2240" w:firstLineChars="700"/>
        <w:textAlignment w:val="auto"/>
        <w:rPr>
          <w:rFonts w:ascii="Times New Roman" w:hAnsi="Times New Roman" w:eastAsia="仿宋_GB2312" w:cs="Times New Roman"/>
          <w:sz w:val="32"/>
          <w:szCs w:val="32"/>
        </w:rPr>
      </w:pPr>
      <w:r>
        <w:rPr>
          <w:rFonts w:ascii="仿宋_GB2312" w:eastAsia="仿宋_GB2312" w:cs="仿宋_GB2312"/>
          <w:sz w:val="32"/>
          <w:szCs w:val="32"/>
        </w:rPr>
        <w:t>王明明</w:t>
      </w:r>
      <w:r>
        <w:rPr>
          <w:rFonts w:hint="eastAsia" w:ascii="仿宋_GB2312" w:eastAsia="仿宋_GB2312" w:cs="仿宋_GB2312"/>
          <w:sz w:val="32"/>
          <w:szCs w:val="32"/>
        </w:rPr>
        <w:t xml:space="preserve">  </w:t>
      </w:r>
      <w:r>
        <w:rPr>
          <w:rFonts w:hint="eastAsia" w:ascii="Times New Roman" w:hAnsi="Times New Roman" w:eastAsia="仿宋_GB2312" w:cs="Times New Roman"/>
          <w:sz w:val="32"/>
          <w:szCs w:val="32"/>
        </w:rPr>
        <w:t>邮储银行滕州市支行副行长</w:t>
      </w:r>
    </w:p>
    <w:p w14:paraId="1604DA6F">
      <w:pPr>
        <w:keepNext w:val="0"/>
        <w:keepLines w:val="0"/>
        <w:pageBreakBefore w:val="0"/>
        <w:widowControl w:val="0"/>
        <w:kinsoku/>
        <w:wordWrap/>
        <w:overflowPunct w:val="0"/>
        <w:topLinePunct w:val="0"/>
        <w:autoSpaceDE/>
        <w:autoSpaceDN/>
        <w:bidi w:val="0"/>
        <w:adjustRightInd/>
        <w:snapToGrid/>
        <w:spacing w:line="600" w:lineRule="exact"/>
        <w:ind w:firstLine="2240" w:firstLineChars="700"/>
        <w:textAlignment w:val="auto"/>
        <w:rPr>
          <w:rFonts w:ascii="Times New Roman" w:hAnsi="Times New Roman" w:eastAsia="仿宋_GB2312" w:cs="Times New Roman"/>
          <w:sz w:val="32"/>
          <w:szCs w:val="32"/>
        </w:rPr>
      </w:pPr>
      <w:r>
        <w:rPr>
          <w:rFonts w:hint="eastAsia" w:ascii="仿宋_GB2312" w:hAnsi="仿宋_GB2312" w:eastAsia="仿宋_GB2312" w:cs="仿宋_GB2312"/>
          <w:sz w:val="32"/>
          <w:szCs w:val="32"/>
        </w:rPr>
        <w:t xml:space="preserve">李  鹏  </w:t>
      </w:r>
      <w:r>
        <w:rPr>
          <w:rFonts w:hint="eastAsia" w:ascii="Times New Roman" w:hAnsi="Times New Roman" w:eastAsia="仿宋_GB2312" w:cs="Times New Roman"/>
          <w:sz w:val="32"/>
          <w:szCs w:val="32"/>
        </w:rPr>
        <w:t>滕州农商银行副行长</w:t>
      </w:r>
    </w:p>
    <w:p w14:paraId="2C4DCD0C">
      <w:pPr>
        <w:keepNext w:val="0"/>
        <w:keepLines w:val="0"/>
        <w:pageBreakBefore w:val="0"/>
        <w:widowControl w:val="0"/>
        <w:kinsoku/>
        <w:wordWrap/>
        <w:overflowPunct w:val="0"/>
        <w:topLinePunct w:val="0"/>
        <w:autoSpaceDE/>
        <w:autoSpaceDN/>
        <w:bidi w:val="0"/>
        <w:adjustRightInd/>
        <w:snapToGrid/>
        <w:spacing w:line="600" w:lineRule="exact"/>
        <w:ind w:firstLine="2240" w:firstLineChars="700"/>
        <w:textAlignment w:val="auto"/>
        <w:rPr>
          <w:rFonts w:ascii="Times New Roman" w:hAnsi="Times New Roman" w:eastAsia="仿宋_GB2312" w:cs="Times New Roman"/>
          <w:sz w:val="32"/>
          <w:szCs w:val="32"/>
        </w:rPr>
      </w:pPr>
      <w:r>
        <w:rPr>
          <w:rFonts w:hint="eastAsia" w:ascii="仿宋_GB2312" w:hAnsi="仿宋_GB2312" w:eastAsia="仿宋_GB2312" w:cs="仿宋_GB2312"/>
          <w:sz w:val="32"/>
          <w:szCs w:val="32"/>
        </w:rPr>
        <w:t xml:space="preserve">刘  婷  </w:t>
      </w:r>
      <w:r>
        <w:rPr>
          <w:rFonts w:hint="eastAsia" w:ascii="Times New Roman" w:hAnsi="Times New Roman" w:eastAsia="仿宋_GB2312" w:cs="Times New Roman"/>
          <w:sz w:val="32"/>
          <w:szCs w:val="32"/>
        </w:rPr>
        <w:t>中银富登村镇银行副行长</w:t>
      </w:r>
    </w:p>
    <w:p w14:paraId="4935AAF1">
      <w:pPr>
        <w:keepNext w:val="0"/>
        <w:keepLines w:val="0"/>
        <w:pageBreakBefore w:val="0"/>
        <w:widowControl w:val="0"/>
        <w:kinsoku/>
        <w:wordWrap/>
        <w:overflowPunct w:val="0"/>
        <w:topLinePunct w:val="0"/>
        <w:autoSpaceDE/>
        <w:autoSpaceDN/>
        <w:bidi w:val="0"/>
        <w:adjustRightInd/>
        <w:snapToGrid/>
        <w:spacing w:line="600" w:lineRule="exact"/>
        <w:ind w:firstLine="2240" w:firstLineChars="700"/>
        <w:textAlignment w:val="auto"/>
        <w:rPr>
          <w:rFonts w:ascii="Times New Roman" w:hAnsi="Times New Roman" w:eastAsia="仿宋_GB2312" w:cs="Times New Roman"/>
          <w:sz w:val="32"/>
          <w:szCs w:val="32"/>
        </w:rPr>
      </w:pPr>
      <w:r>
        <w:rPr>
          <w:rFonts w:hint="eastAsia" w:ascii="仿宋_GB2312" w:hAnsi="仿宋_GB2312" w:eastAsia="仿宋_GB2312" w:cs="仿宋_GB2312"/>
          <w:sz w:val="32"/>
          <w:szCs w:val="32"/>
        </w:rPr>
        <w:t xml:space="preserve">朱  森  </w:t>
      </w:r>
      <w:r>
        <w:rPr>
          <w:rFonts w:hint="eastAsia" w:ascii="Times New Roman" w:hAnsi="Times New Roman" w:eastAsia="仿宋_GB2312" w:cs="Times New Roman"/>
          <w:sz w:val="32"/>
          <w:szCs w:val="32"/>
        </w:rPr>
        <w:t>枣庄银行滕州支行副行长</w:t>
      </w:r>
    </w:p>
    <w:p w14:paraId="5FEEB512">
      <w:pPr>
        <w:keepNext w:val="0"/>
        <w:keepLines w:val="0"/>
        <w:pageBreakBefore w:val="0"/>
        <w:widowControl w:val="0"/>
        <w:kinsoku/>
        <w:wordWrap/>
        <w:overflowPunct w:val="0"/>
        <w:topLinePunct w:val="0"/>
        <w:autoSpaceDE/>
        <w:autoSpaceDN/>
        <w:bidi w:val="0"/>
        <w:adjustRightInd/>
        <w:snapToGrid/>
        <w:spacing w:line="600" w:lineRule="exact"/>
        <w:ind w:firstLine="2240" w:firstLineChars="7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陈  鹏  济宁银行滕州支行副行长</w:t>
      </w:r>
    </w:p>
    <w:p w14:paraId="43DE6590">
      <w:pPr>
        <w:keepNext w:val="0"/>
        <w:keepLines w:val="0"/>
        <w:pageBreakBefore w:val="0"/>
        <w:widowControl w:val="0"/>
        <w:kinsoku/>
        <w:wordWrap/>
        <w:overflowPunct w:val="0"/>
        <w:topLinePunct w:val="0"/>
        <w:autoSpaceDE/>
        <w:autoSpaceDN/>
        <w:bidi w:val="0"/>
        <w:adjustRightInd/>
        <w:snapToGrid/>
        <w:spacing w:line="600" w:lineRule="exact"/>
        <w:ind w:firstLine="2240" w:firstLineChars="7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常  然  青岛银行滕州支行副行长</w:t>
      </w:r>
    </w:p>
    <w:p w14:paraId="103D5C93">
      <w:pPr>
        <w:keepNext w:val="0"/>
        <w:keepLines w:val="0"/>
        <w:pageBreakBefore w:val="0"/>
        <w:widowControl w:val="0"/>
        <w:kinsoku/>
        <w:wordWrap/>
        <w:overflowPunct w:val="0"/>
        <w:topLinePunct w:val="0"/>
        <w:autoSpaceDE/>
        <w:autoSpaceDN/>
        <w:bidi w:val="0"/>
        <w:adjustRightInd/>
        <w:snapToGrid/>
        <w:spacing w:line="600" w:lineRule="exact"/>
        <w:ind w:firstLine="2240" w:firstLineChars="700"/>
        <w:textAlignment w:val="auto"/>
        <w:rPr>
          <w:rFonts w:ascii="Times New Roman" w:hAnsi="Times New Roman" w:eastAsia="仿宋_GB2312" w:cs="Times New Roman"/>
          <w:sz w:val="32"/>
          <w:szCs w:val="32"/>
        </w:rPr>
      </w:pPr>
      <w:r>
        <w:rPr>
          <w:rFonts w:hint="eastAsia" w:ascii="仿宋_GB2312" w:hAnsi="仿宋_GB2312" w:eastAsia="仿宋_GB2312" w:cs="仿宋_GB2312"/>
          <w:sz w:val="32"/>
          <w:szCs w:val="32"/>
        </w:rPr>
        <w:t xml:space="preserve">侯凯凯  </w:t>
      </w:r>
      <w:r>
        <w:rPr>
          <w:rFonts w:hint="eastAsia" w:ascii="Times New Roman" w:hAnsi="Times New Roman" w:eastAsia="仿宋_GB2312" w:cs="Times New Roman"/>
          <w:sz w:val="32"/>
          <w:szCs w:val="32"/>
        </w:rPr>
        <w:t>日照银行滕州支行副行长</w:t>
      </w:r>
    </w:p>
    <w:p w14:paraId="6F1B76E7">
      <w:pPr>
        <w:keepNext w:val="0"/>
        <w:keepLines w:val="0"/>
        <w:pageBreakBefore w:val="0"/>
        <w:widowControl w:val="0"/>
        <w:kinsoku/>
        <w:wordWrap/>
        <w:overflowPunct w:val="0"/>
        <w:topLinePunct w:val="0"/>
        <w:autoSpaceDE/>
        <w:autoSpaceDN/>
        <w:bidi w:val="0"/>
        <w:adjustRightInd/>
        <w:snapToGrid/>
        <w:spacing w:line="600" w:lineRule="exact"/>
        <w:ind w:firstLine="2240" w:firstLineChars="7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朱楚豪  威海银行滕州支行副行长</w:t>
      </w:r>
    </w:p>
    <w:p w14:paraId="0EF8A94B">
      <w:pPr>
        <w:keepNext w:val="0"/>
        <w:keepLines w:val="0"/>
        <w:pageBreakBefore w:val="0"/>
        <w:widowControl w:val="0"/>
        <w:kinsoku/>
        <w:wordWrap/>
        <w:overflowPunct w:val="0"/>
        <w:topLinePunct w:val="0"/>
        <w:autoSpaceDE/>
        <w:autoSpaceDN/>
        <w:bidi w:val="0"/>
        <w:adjustRightInd/>
        <w:snapToGrid/>
        <w:spacing w:line="600" w:lineRule="exact"/>
        <w:ind w:firstLine="2240" w:firstLineChars="700"/>
        <w:textAlignment w:val="auto"/>
        <w:rPr>
          <w:rFonts w:ascii="Times New Roman" w:hAnsi="Times New Roman" w:eastAsia="仿宋_GB2312" w:cs="Times New Roman"/>
          <w:spacing w:val="-6"/>
          <w:sz w:val="32"/>
          <w:szCs w:val="32"/>
        </w:rPr>
      </w:pPr>
      <w:r>
        <w:rPr>
          <w:rFonts w:hint="eastAsia" w:ascii="仿宋_GB2312" w:hAnsi="仿宋_GB2312" w:eastAsia="仿宋_GB2312" w:cs="仿宋_GB2312"/>
          <w:sz w:val="32"/>
          <w:szCs w:val="32"/>
        </w:rPr>
        <w:t xml:space="preserve">刘尚玉  </w:t>
      </w:r>
      <w:r>
        <w:rPr>
          <w:rFonts w:hint="eastAsia" w:ascii="Times New Roman" w:hAnsi="Times New Roman" w:eastAsia="仿宋_GB2312" w:cs="Times New Roman"/>
          <w:sz w:val="32"/>
          <w:szCs w:val="32"/>
        </w:rPr>
        <w:t>市</w:t>
      </w:r>
      <w:r>
        <w:rPr>
          <w:rFonts w:hint="eastAsia" w:ascii="Times New Roman" w:hAnsi="Times New Roman" w:eastAsia="仿宋_GB2312" w:cs="Times New Roman"/>
          <w:spacing w:val="-6"/>
          <w:sz w:val="32"/>
          <w:szCs w:val="32"/>
        </w:rPr>
        <w:t>科技局政策法规与发展规划室主任</w:t>
      </w:r>
    </w:p>
    <w:p w14:paraId="0244B484">
      <w:pPr>
        <w:keepNext w:val="0"/>
        <w:keepLines w:val="0"/>
        <w:pageBreakBefore w:val="0"/>
        <w:widowControl w:val="0"/>
        <w:kinsoku/>
        <w:wordWrap/>
        <w:overflowPunct w:val="0"/>
        <w:topLinePunct w:val="0"/>
        <w:autoSpaceDE/>
        <w:autoSpaceDN/>
        <w:bidi w:val="0"/>
        <w:adjustRightInd/>
        <w:snapToGrid/>
        <w:spacing w:line="600" w:lineRule="exact"/>
        <w:ind w:firstLine="2240" w:firstLineChars="7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王  谦  市财政局财政金融科科长</w:t>
      </w:r>
    </w:p>
    <w:p w14:paraId="332FABD8">
      <w:pPr>
        <w:keepNext w:val="0"/>
        <w:keepLines w:val="0"/>
        <w:pageBreakBefore w:val="0"/>
        <w:widowControl w:val="0"/>
        <w:kinsoku/>
        <w:wordWrap/>
        <w:overflowPunct w:val="0"/>
        <w:topLinePunct w:val="0"/>
        <w:autoSpaceDE/>
        <w:autoSpaceDN/>
        <w:bidi w:val="0"/>
        <w:adjustRightInd/>
        <w:snapToGrid/>
        <w:spacing w:line="600" w:lineRule="exact"/>
        <w:ind w:left="3514" w:leftChars="1064" w:hanging="1280" w:hangingChars="400"/>
        <w:textAlignment w:val="auto"/>
        <w:rPr>
          <w:rFonts w:hint="eastAsia" w:ascii="Times New Roman" w:hAnsi="Times New Roman" w:eastAsia="仿宋_GB2312" w:cs="Times New Roman"/>
          <w:w w:val="97"/>
          <w:sz w:val="32"/>
          <w:szCs w:val="32"/>
        </w:rPr>
      </w:pPr>
      <w:r>
        <w:rPr>
          <w:rFonts w:hint="eastAsia" w:ascii="Times New Roman" w:hAnsi="Times New Roman" w:eastAsia="仿宋_GB2312" w:cs="Times New Roman"/>
          <w:sz w:val="32"/>
          <w:szCs w:val="32"/>
        </w:rPr>
        <w:t xml:space="preserve">王永超  </w:t>
      </w:r>
      <w:r>
        <w:rPr>
          <w:rFonts w:hint="eastAsia" w:ascii="Times New Roman" w:hAnsi="Times New Roman" w:eastAsia="仿宋_GB2312" w:cs="Times New Roman"/>
          <w:w w:val="97"/>
          <w:sz w:val="32"/>
          <w:szCs w:val="32"/>
        </w:rPr>
        <w:t>市公共就业和人才服务中心创业担保贷款室主任</w:t>
      </w:r>
    </w:p>
    <w:p w14:paraId="6C49A205">
      <w:pPr>
        <w:keepNext w:val="0"/>
        <w:keepLines w:val="0"/>
        <w:pageBreakBefore w:val="0"/>
        <w:widowControl w:val="0"/>
        <w:kinsoku/>
        <w:wordWrap/>
        <w:overflowPunct w:val="0"/>
        <w:topLinePunct w:val="0"/>
        <w:autoSpaceDE/>
        <w:autoSpaceDN/>
        <w:bidi w:val="0"/>
        <w:adjustRightInd/>
        <w:snapToGrid/>
        <w:spacing w:line="600" w:lineRule="exact"/>
        <w:ind w:left="3514" w:leftChars="1064" w:hanging="1280" w:hangingChars="400"/>
        <w:textAlignment w:val="auto"/>
        <w:rPr>
          <w:rFonts w:hint="eastAsia" w:ascii="Times New Roman" w:hAnsi="Times New Roman" w:eastAsia="仿宋_GB2312" w:cs="Times New Roman"/>
          <w:w w:val="97"/>
          <w:sz w:val="32"/>
          <w:szCs w:val="32"/>
        </w:rPr>
      </w:pPr>
      <w:r>
        <w:rPr>
          <w:rFonts w:hint="eastAsia" w:ascii="仿宋_GB2312" w:hAnsi="仿宋_GB2312" w:eastAsia="仿宋_GB2312" w:cs="仿宋_GB2312"/>
          <w:sz w:val="32"/>
          <w:szCs w:val="32"/>
        </w:rPr>
        <w:t xml:space="preserve">孙玉林  </w:t>
      </w:r>
      <w:r>
        <w:rPr>
          <w:rFonts w:hint="eastAsia" w:ascii="Times New Roman" w:hAnsi="Times New Roman" w:eastAsia="仿宋_GB2312" w:cs="Times New Roman"/>
          <w:w w:val="97"/>
          <w:sz w:val="32"/>
          <w:szCs w:val="32"/>
        </w:rPr>
        <w:t>国家金融监督管理总局滕州监管支局风险监测科科长</w:t>
      </w:r>
    </w:p>
    <w:p w14:paraId="4D246E4C">
      <w:pPr>
        <w:keepNext w:val="0"/>
        <w:keepLines w:val="0"/>
        <w:pageBreakBefore w:val="0"/>
        <w:widowControl w:val="0"/>
        <w:kinsoku/>
        <w:wordWrap/>
        <w:overflowPunct w:val="0"/>
        <w:topLinePunct w:val="0"/>
        <w:autoSpaceDE/>
        <w:autoSpaceDN/>
        <w:bidi w:val="0"/>
        <w:adjustRightInd/>
        <w:snapToGrid/>
        <w:spacing w:line="600" w:lineRule="exact"/>
        <w:ind w:firstLine="2240" w:firstLineChars="700"/>
        <w:textAlignment w:val="auto"/>
        <w:rPr>
          <w:rFonts w:hint="eastAsia" w:ascii="Times New Roman" w:hAnsi="Times New Roman" w:eastAsia="仿宋_GB2312" w:cs="Times New Roman"/>
          <w:spacing w:val="0"/>
          <w:w w:val="97"/>
          <w:sz w:val="32"/>
          <w:szCs w:val="32"/>
        </w:rPr>
      </w:pPr>
      <w:r>
        <w:rPr>
          <w:rFonts w:hint="eastAsia" w:ascii="Times New Roman" w:hAnsi="Times New Roman" w:eastAsia="仿宋_GB2312" w:cs="Times New Roman"/>
          <w:sz w:val="32"/>
          <w:szCs w:val="32"/>
        </w:rPr>
        <w:t>贺  潇</w:t>
      </w:r>
      <w:r>
        <w:rPr>
          <w:rFonts w:hint="eastAsia" w:ascii="Times New Roman" w:hAnsi="Times New Roman" w:eastAsia="仿宋_GB2312" w:cs="Times New Roman"/>
          <w:w w:val="97"/>
          <w:sz w:val="32"/>
          <w:szCs w:val="32"/>
        </w:rPr>
        <w:t xml:space="preserve">  </w:t>
      </w:r>
      <w:r>
        <w:rPr>
          <w:rFonts w:hint="eastAsia" w:ascii="Times New Roman" w:hAnsi="Times New Roman" w:eastAsia="仿宋_GB2312" w:cs="Times New Roman"/>
          <w:spacing w:val="0"/>
          <w:w w:val="97"/>
          <w:sz w:val="32"/>
          <w:szCs w:val="32"/>
        </w:rPr>
        <w:t>市金融运行监测中心银行保险科科长</w:t>
      </w:r>
    </w:p>
    <w:p w14:paraId="4551A2F3">
      <w:pPr>
        <w:keepNext w:val="0"/>
        <w:keepLines w:val="0"/>
        <w:pageBreakBefore w:val="0"/>
        <w:widowControl w:val="0"/>
        <w:kinsoku/>
        <w:wordWrap/>
        <w:overflowPunct w:val="0"/>
        <w:topLinePunct w:val="0"/>
        <w:autoSpaceDE/>
        <w:autoSpaceDN/>
        <w:bidi w:val="0"/>
        <w:adjustRightInd/>
        <w:snapToGrid/>
        <w:spacing w:line="600" w:lineRule="exact"/>
        <w:ind w:firstLine="2240" w:firstLineChars="700"/>
        <w:textAlignment w:val="auto"/>
        <w:rPr>
          <w:rFonts w:hint="eastAsia" w:ascii="Times New Roman" w:hAnsi="Times New Roman" w:eastAsia="仿宋_GB2312" w:cs="Times New Roman"/>
          <w:w w:val="97"/>
          <w:sz w:val="32"/>
          <w:szCs w:val="32"/>
        </w:rPr>
      </w:pPr>
      <w:r>
        <w:rPr>
          <w:rFonts w:hint="eastAsia" w:ascii="Times New Roman" w:hAnsi="Times New Roman" w:eastAsia="仿宋_GB2312" w:cs="Times New Roman"/>
          <w:sz w:val="32"/>
          <w:szCs w:val="32"/>
        </w:rPr>
        <w:t>徐立新</w:t>
      </w:r>
      <w:r>
        <w:rPr>
          <w:rFonts w:hint="eastAsia" w:ascii="Times New Roman" w:hAnsi="Times New Roman" w:eastAsia="仿宋_GB2312" w:cs="Times New Roman"/>
          <w:sz w:val="32"/>
          <w:szCs w:val="32"/>
          <w:shd w:val="clear" w:color="auto" w:fill="auto"/>
        </w:rPr>
        <w:t xml:space="preserve"> </w:t>
      </w:r>
      <w:r>
        <w:rPr>
          <w:rFonts w:hint="eastAsia" w:ascii="Times New Roman" w:hAnsi="Times New Roman" w:eastAsia="仿宋_GB2312" w:cs="Times New Roman"/>
          <w:w w:val="97"/>
          <w:sz w:val="32"/>
          <w:szCs w:val="32"/>
        </w:rPr>
        <w:t xml:space="preserve"> 市金融运行监测中心地方金融科科长</w:t>
      </w:r>
    </w:p>
    <w:p w14:paraId="7F99A951">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专班日常工作由市财政局牵头负责，工作任务完成后自行撤销。</w:t>
      </w:r>
    </w:p>
    <w:p w14:paraId="1A7F600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sz w:val="32"/>
          <w:szCs w:val="32"/>
          <w14:ligatures w14:val="standardContextual"/>
        </w:rPr>
      </w:pPr>
    </w:p>
    <w:sectPr>
      <w:footerReference r:id="rId3" w:type="default"/>
      <w:pgSz w:w="11906" w:h="16838"/>
      <w:pgMar w:top="1701" w:right="1701" w:bottom="1701" w:left="1701" w:header="851" w:footer="1304"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文鼎CS楷體"/>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文鼎CS楷體"/>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3781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D43714">
                          <w:pPr>
                            <w:pStyle w:val="4"/>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fldChar w:fldCharType="begin"/>
                          </w:r>
                          <w:r>
                            <w:rPr>
                              <w:rFonts w:hint="eastAsia" w:asciiTheme="majorEastAsia" w:hAnsiTheme="majorEastAsia" w:eastAsiaTheme="majorEastAsia" w:cstheme="majorEastAsia"/>
                              <w:sz w:val="24"/>
                            </w:rPr>
                            <w:instrText xml:space="preserve"> PAGE  \* MERGEFORMAT </w:instrText>
                          </w:r>
                          <w:r>
                            <w:rPr>
                              <w:rFonts w:hint="eastAsia" w:asciiTheme="majorEastAsia" w:hAnsiTheme="majorEastAsia" w:eastAsiaTheme="majorEastAsia" w:cstheme="majorEastAsia"/>
                              <w:sz w:val="24"/>
                            </w:rPr>
                            <w:fldChar w:fldCharType="separate"/>
                          </w:r>
                          <w:r>
                            <w:rPr>
                              <w:rFonts w:asciiTheme="majorEastAsia" w:hAnsiTheme="majorEastAsia" w:eastAsiaTheme="majorEastAsia" w:cstheme="majorEastAsia"/>
                              <w:sz w:val="24"/>
                            </w:rPr>
                            <w:t>- 8 -</w:t>
                          </w:r>
                          <w:r>
                            <w:rPr>
                              <w:rFonts w:hint="eastAsia" w:asciiTheme="majorEastAsia" w:hAnsiTheme="majorEastAsia" w:eastAsiaTheme="majorEastAsia" w:cstheme="majorEastAsia"/>
                              <w:sz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AD43714">
                    <w:pPr>
                      <w:pStyle w:val="4"/>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fldChar w:fldCharType="begin"/>
                    </w:r>
                    <w:r>
                      <w:rPr>
                        <w:rFonts w:hint="eastAsia" w:asciiTheme="majorEastAsia" w:hAnsiTheme="majorEastAsia" w:eastAsiaTheme="majorEastAsia" w:cstheme="majorEastAsia"/>
                        <w:sz w:val="24"/>
                      </w:rPr>
                      <w:instrText xml:space="preserve"> PAGE  \* MERGEFORMAT </w:instrText>
                    </w:r>
                    <w:r>
                      <w:rPr>
                        <w:rFonts w:hint="eastAsia" w:asciiTheme="majorEastAsia" w:hAnsiTheme="majorEastAsia" w:eastAsiaTheme="majorEastAsia" w:cstheme="majorEastAsia"/>
                        <w:sz w:val="24"/>
                      </w:rPr>
                      <w:fldChar w:fldCharType="separate"/>
                    </w:r>
                    <w:r>
                      <w:rPr>
                        <w:rFonts w:asciiTheme="majorEastAsia" w:hAnsiTheme="majorEastAsia" w:eastAsiaTheme="majorEastAsia" w:cstheme="majorEastAsia"/>
                        <w:sz w:val="24"/>
                      </w:rPr>
                      <w:t>- 8 -</w:t>
                    </w:r>
                    <w:r>
                      <w:rPr>
                        <w:rFonts w:hint="eastAsia" w:asciiTheme="majorEastAsia" w:hAnsiTheme="majorEastAsia" w:eastAsiaTheme="majorEastAsia" w:cstheme="majorEastAsia"/>
                        <w:sz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2MjkwYTJhOThlYmI1Y2FkYTk1YTUxODcwOGJiNjEifQ=="/>
  </w:docVars>
  <w:rsids>
    <w:rsidRoot w:val="76AD4A3A"/>
    <w:rsid w:val="00852DA5"/>
    <w:rsid w:val="00CC358E"/>
    <w:rsid w:val="00FD4261"/>
    <w:rsid w:val="02E84657"/>
    <w:rsid w:val="0B243B52"/>
    <w:rsid w:val="0B7DA0F6"/>
    <w:rsid w:val="0DE620DB"/>
    <w:rsid w:val="0F7B1017"/>
    <w:rsid w:val="1053332C"/>
    <w:rsid w:val="13FD1CBA"/>
    <w:rsid w:val="151D5C1F"/>
    <w:rsid w:val="16B10C01"/>
    <w:rsid w:val="19FDAC54"/>
    <w:rsid w:val="1D64113F"/>
    <w:rsid w:val="1E8F136A"/>
    <w:rsid w:val="1F46114F"/>
    <w:rsid w:val="1F971C8B"/>
    <w:rsid w:val="226C6BFB"/>
    <w:rsid w:val="239161EE"/>
    <w:rsid w:val="25BA7C7E"/>
    <w:rsid w:val="26485289"/>
    <w:rsid w:val="27EB3359"/>
    <w:rsid w:val="286CCE50"/>
    <w:rsid w:val="2A3C5105"/>
    <w:rsid w:val="2B8C5C18"/>
    <w:rsid w:val="2BBD4333"/>
    <w:rsid w:val="2C853429"/>
    <w:rsid w:val="36D90457"/>
    <w:rsid w:val="37FFEA67"/>
    <w:rsid w:val="38BC19DF"/>
    <w:rsid w:val="39EFF581"/>
    <w:rsid w:val="39F75853"/>
    <w:rsid w:val="3AC54CA3"/>
    <w:rsid w:val="3BEB81E7"/>
    <w:rsid w:val="3BFC3445"/>
    <w:rsid w:val="3EBF4A09"/>
    <w:rsid w:val="3ED7D96E"/>
    <w:rsid w:val="3EDFAA95"/>
    <w:rsid w:val="3EFF81AD"/>
    <w:rsid w:val="3F68A20F"/>
    <w:rsid w:val="3FB7F3EE"/>
    <w:rsid w:val="3FEDE989"/>
    <w:rsid w:val="3FF7AFE2"/>
    <w:rsid w:val="45AC0F39"/>
    <w:rsid w:val="47631ACB"/>
    <w:rsid w:val="48DB2B68"/>
    <w:rsid w:val="4C556A9D"/>
    <w:rsid w:val="4D7F26BE"/>
    <w:rsid w:val="4F8F2EA0"/>
    <w:rsid w:val="4F9B131A"/>
    <w:rsid w:val="4FF6D08E"/>
    <w:rsid w:val="4FFF656D"/>
    <w:rsid w:val="51D75253"/>
    <w:rsid w:val="53FF1BA9"/>
    <w:rsid w:val="55DC5B69"/>
    <w:rsid w:val="56E69C1E"/>
    <w:rsid w:val="57FBF3D0"/>
    <w:rsid w:val="5B1D0CF3"/>
    <w:rsid w:val="5B5FEE97"/>
    <w:rsid w:val="5BBF2084"/>
    <w:rsid w:val="5BED0F49"/>
    <w:rsid w:val="5C806824"/>
    <w:rsid w:val="5CEFC2AF"/>
    <w:rsid w:val="5DF61D0A"/>
    <w:rsid w:val="5DFE2764"/>
    <w:rsid w:val="5E76F28A"/>
    <w:rsid w:val="5EE170EB"/>
    <w:rsid w:val="5F7F8DCE"/>
    <w:rsid w:val="5FEFC19B"/>
    <w:rsid w:val="5FF697CE"/>
    <w:rsid w:val="5FF795A2"/>
    <w:rsid w:val="619823B2"/>
    <w:rsid w:val="635B0A78"/>
    <w:rsid w:val="637AF72F"/>
    <w:rsid w:val="65070A50"/>
    <w:rsid w:val="66EC9B18"/>
    <w:rsid w:val="68F7DA74"/>
    <w:rsid w:val="6BCA6ACE"/>
    <w:rsid w:val="6BEF4128"/>
    <w:rsid w:val="6D77D385"/>
    <w:rsid w:val="6E7EC497"/>
    <w:rsid w:val="6FA35235"/>
    <w:rsid w:val="6FBC19D9"/>
    <w:rsid w:val="6FDC30AB"/>
    <w:rsid w:val="6FFD0B52"/>
    <w:rsid w:val="6FFFF1E1"/>
    <w:rsid w:val="70FD6133"/>
    <w:rsid w:val="714F5473"/>
    <w:rsid w:val="731735E6"/>
    <w:rsid w:val="756F5D1A"/>
    <w:rsid w:val="768F4109"/>
    <w:rsid w:val="76AD4A3A"/>
    <w:rsid w:val="76FEAEAC"/>
    <w:rsid w:val="777B0D75"/>
    <w:rsid w:val="7783AE41"/>
    <w:rsid w:val="77AF55C0"/>
    <w:rsid w:val="77C36889"/>
    <w:rsid w:val="77D7E2E8"/>
    <w:rsid w:val="77E73837"/>
    <w:rsid w:val="77EFDA0C"/>
    <w:rsid w:val="77F748C9"/>
    <w:rsid w:val="77F7C51B"/>
    <w:rsid w:val="77FEA58E"/>
    <w:rsid w:val="77FF8435"/>
    <w:rsid w:val="7B5F0F1F"/>
    <w:rsid w:val="7B7EBE34"/>
    <w:rsid w:val="7BB79881"/>
    <w:rsid w:val="7CDB78DE"/>
    <w:rsid w:val="7CFFC78B"/>
    <w:rsid w:val="7D5FBE7B"/>
    <w:rsid w:val="7D650EA0"/>
    <w:rsid w:val="7D7B12FF"/>
    <w:rsid w:val="7DC1BFC5"/>
    <w:rsid w:val="7DFE857D"/>
    <w:rsid w:val="7DFF1B0F"/>
    <w:rsid w:val="7E5E95B0"/>
    <w:rsid w:val="7EE9AC21"/>
    <w:rsid w:val="7EF73536"/>
    <w:rsid w:val="7F3920B2"/>
    <w:rsid w:val="7F781F3F"/>
    <w:rsid w:val="7F7EE669"/>
    <w:rsid w:val="7F7FF610"/>
    <w:rsid w:val="7F8AB82B"/>
    <w:rsid w:val="7FAD9BD9"/>
    <w:rsid w:val="7FD7014C"/>
    <w:rsid w:val="7FDF2F30"/>
    <w:rsid w:val="7FF4AD48"/>
    <w:rsid w:val="7FF50ABF"/>
    <w:rsid w:val="7FF67911"/>
    <w:rsid w:val="7FFF3072"/>
    <w:rsid w:val="8BF9302A"/>
    <w:rsid w:val="8FD99236"/>
    <w:rsid w:val="99DEB53F"/>
    <w:rsid w:val="9BFE108D"/>
    <w:rsid w:val="9DCDB6EB"/>
    <w:rsid w:val="A3DDAEFE"/>
    <w:rsid w:val="AB7D4A91"/>
    <w:rsid w:val="ABA9D876"/>
    <w:rsid w:val="ADEFA909"/>
    <w:rsid w:val="AF979F90"/>
    <w:rsid w:val="AFEFC450"/>
    <w:rsid w:val="B39DEE29"/>
    <w:rsid w:val="B3E3C8E4"/>
    <w:rsid w:val="B75FE727"/>
    <w:rsid w:val="B7FE3ABB"/>
    <w:rsid w:val="BB5ADC82"/>
    <w:rsid w:val="BBF0732E"/>
    <w:rsid w:val="BDEF4B29"/>
    <w:rsid w:val="BE6E1917"/>
    <w:rsid w:val="BF7D3F04"/>
    <w:rsid w:val="BFAEA9B5"/>
    <w:rsid w:val="BFBF3264"/>
    <w:rsid w:val="BFE3ED28"/>
    <w:rsid w:val="BFFBFDBE"/>
    <w:rsid w:val="BFFEE2F0"/>
    <w:rsid w:val="CD764CD1"/>
    <w:rsid w:val="CDEB1599"/>
    <w:rsid w:val="D4FF9396"/>
    <w:rsid w:val="D5F5BC08"/>
    <w:rsid w:val="D7FDDA82"/>
    <w:rsid w:val="D8ED523A"/>
    <w:rsid w:val="DC3F9E80"/>
    <w:rsid w:val="DEDFB3D7"/>
    <w:rsid w:val="DF702630"/>
    <w:rsid w:val="DFABD175"/>
    <w:rsid w:val="DFEE96C1"/>
    <w:rsid w:val="DFF52139"/>
    <w:rsid w:val="E1FA6B28"/>
    <w:rsid w:val="E4D6E8E2"/>
    <w:rsid w:val="E5BFE036"/>
    <w:rsid w:val="EA34BD99"/>
    <w:rsid w:val="EA7F5DBC"/>
    <w:rsid w:val="EAFFB318"/>
    <w:rsid w:val="EBAAE04B"/>
    <w:rsid w:val="EDCB7045"/>
    <w:rsid w:val="EEFEB2C6"/>
    <w:rsid w:val="EFBF7979"/>
    <w:rsid w:val="EFF908E6"/>
    <w:rsid w:val="EFFE4F8D"/>
    <w:rsid w:val="EFFF5423"/>
    <w:rsid w:val="F17C3CA1"/>
    <w:rsid w:val="F1ED8232"/>
    <w:rsid w:val="F3FBC6FA"/>
    <w:rsid w:val="F3FDE416"/>
    <w:rsid w:val="F46FC57A"/>
    <w:rsid w:val="F5BFAFBE"/>
    <w:rsid w:val="F6BACD42"/>
    <w:rsid w:val="F6BF2307"/>
    <w:rsid w:val="F7791828"/>
    <w:rsid w:val="F797FE13"/>
    <w:rsid w:val="F7EFAFB7"/>
    <w:rsid w:val="F7FDD07E"/>
    <w:rsid w:val="F87872AA"/>
    <w:rsid w:val="F89E710B"/>
    <w:rsid w:val="F95D502F"/>
    <w:rsid w:val="F9FF4B3A"/>
    <w:rsid w:val="FB759C70"/>
    <w:rsid w:val="FBE6489B"/>
    <w:rsid w:val="FBED1E0E"/>
    <w:rsid w:val="FBF5D003"/>
    <w:rsid w:val="FBFC99FF"/>
    <w:rsid w:val="FCDFF57A"/>
    <w:rsid w:val="FCF84414"/>
    <w:rsid w:val="FD5F0D35"/>
    <w:rsid w:val="FDB3506B"/>
    <w:rsid w:val="FDBF3D98"/>
    <w:rsid w:val="FDE89BB4"/>
    <w:rsid w:val="FDF76EAA"/>
    <w:rsid w:val="FE17E171"/>
    <w:rsid w:val="FE1B5D2B"/>
    <w:rsid w:val="FED619FE"/>
    <w:rsid w:val="FEEDC56C"/>
    <w:rsid w:val="FEFE2F5C"/>
    <w:rsid w:val="FF0FA5E8"/>
    <w:rsid w:val="FF3548FB"/>
    <w:rsid w:val="FF44C566"/>
    <w:rsid w:val="FF7FA71A"/>
    <w:rsid w:val="FFB692C4"/>
    <w:rsid w:val="FFEF68E0"/>
    <w:rsid w:val="FFF6E9D7"/>
    <w:rsid w:val="FFFFBCF3"/>
    <w:rsid w:val="FFFFE8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Plain Text"/>
    <w:basedOn w:val="1"/>
    <w:qFormat/>
    <w:uiPriority w:val="0"/>
    <w:rPr>
      <w:rFonts w:ascii="宋体" w:hAnsi="Courier New"/>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Normal (Web)"/>
    <w:basedOn w:val="1"/>
    <w:qFormat/>
    <w:uiPriority w:val="0"/>
    <w:pPr>
      <w:spacing w:beforeAutospacing="1" w:afterAutospacing="1"/>
      <w:jc w:val="left"/>
    </w:pPr>
    <w:rPr>
      <w:rFonts w:cs="Times New Roman"/>
      <w:kern w:val="0"/>
      <w:sz w:val="24"/>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37907f88-43db-437a-9143-d8af206021dc</errorID>
      <errorWord xmlns="http://schemas.wps.cn/vas-ai-hub/contract-review">实际，特制定本</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实际，特制定</item>
      </candidateList>
      <explain xmlns="http://schemas.wps.cn/vas-ai-hub/contract-review"/>
      <paraID xmlns="http://schemas.wps.cn/vas-ai-hub/contract-review">60FD9BD0</paraID>
      <start xmlns="http://schemas.wps.cn/vas-ai-hub/contract-review">258</start>
      <end xmlns="http://schemas.wps.cn/vas-ai-hub/contract-review">265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721bd798-e8c8-4a0c-ba36-2a44bb8eff79</errorID>
      <errorWord xmlns="http://schemas.wps.cn/vas-ai-hub/contract-review">“3 15”消费者权益</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“3·15”消费者权益</item>
      </candidateList>
      <explain xmlns="http://schemas.wps.cn/vas-ai-hub/contract-review"/>
      <paraID xmlns="http://schemas.wps.cn/vas-ai-hub/contract-review">2B50DF1D</paraID>
      <start xmlns="http://schemas.wps.cn/vas-ai-hub/contract-review">297</start>
      <end xmlns="http://schemas.wps.cn/vas-ai-hub/contract-review">308</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D56DBC-5CF2-479F-AEE9-432EF5F3580D}">
  <ds:schemaRefs/>
</ds:datastoreItem>
</file>

<file path=docProps/app.xml><?xml version="1.0" encoding="utf-8"?>
<Properties xmlns="http://schemas.openxmlformats.org/officeDocument/2006/extended-properties" xmlns:vt="http://schemas.openxmlformats.org/officeDocument/2006/docPropsVTypes">
  <Template>Normal</Template>
  <Company>DoubleOX</Company>
  <Pages>9</Pages>
  <Words>3617</Words>
  <Characters>3705</Characters>
  <Lines>27</Lines>
  <Paragraphs>7</Paragraphs>
  <TotalTime>55</TotalTime>
  <ScaleCrop>false</ScaleCrop>
  <LinksUpToDate>false</LinksUpToDate>
  <CharactersWithSpaces>3807</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2026-06-16T17:54:00Z</dcterms:created>
  <dc:creator>于晓蕾</dc:creator>
  <cp:lastModifiedBy>User</cp:lastModifiedBy>
  <cp:lastPrinted>2026-08-11T10:10:00Z</cp:lastPrinted>
  <dcterms:modified xsi:type="dcterms:W3CDTF">2026-09-21T15:34:11Z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CD58A90E1FB364F354EFA96ADB070DB0</vt:lpwstr>
  </property>
  <property fmtid="{D5CDD505-2E9C-101B-9397-08002B2CF9AE}" pid="4" name="KSOTemplateDocerSaveRecord">
    <vt:lpwstr>eyJoZGlkIjoiOTIzMTVhZDlmNDhjZWEwZThmMzNjZTA5MWQ3YWVhMDIiLCJ1c2VySWQiOiIxNzY4NTA5MTU2In0=</vt:lpwstr>
  </property>
</Properties>
</file>